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08FC" w14:textId="77777777" w:rsidR="00047EAA" w:rsidRDefault="00047EAA" w:rsidP="001B3967">
      <w:r>
        <w:t>Kantara Implementation Guidance Report</w:t>
      </w:r>
    </w:p>
    <w:p w14:paraId="69B2EE58" w14:textId="106EA0DB" w:rsidR="00047EAA" w:rsidRDefault="00047EAA" w:rsidP="00047EAA"/>
    <w:p w14:paraId="0CD5A1A1" w14:textId="4D2D32BA" w:rsidR="009B4DE0" w:rsidRPr="009B4DE0" w:rsidRDefault="009B4DE0">
      <w:r>
        <w:rPr>
          <w:b/>
        </w:rPr>
        <w:t>ID:</w:t>
      </w:r>
      <w:r>
        <w:t xml:space="preserve"> 2018-K-</w:t>
      </w:r>
      <w:proofErr w:type="gramStart"/>
      <w:r>
        <w:t>01</w:t>
      </w:r>
      <w:r w:rsidR="00E83981">
        <w:t xml:space="preserve">  ver</w:t>
      </w:r>
      <w:proofErr w:type="gramEnd"/>
      <w:r w:rsidR="00E83981">
        <w:t xml:space="preserve">. </w:t>
      </w:r>
      <w:r w:rsidR="00623706">
        <w:t>2.0</w:t>
      </w:r>
    </w:p>
    <w:p w14:paraId="5090301B" w14:textId="3D01E5B2" w:rsidR="00FB0524" w:rsidRDefault="006566C1">
      <w:r w:rsidRPr="001F1E88">
        <w:rPr>
          <w:b/>
        </w:rPr>
        <w:t>Subject:</w:t>
      </w:r>
      <w:r>
        <w:t xml:space="preserve"> Guidance on Permitting “Commodity” Hardware for Unsupervised Remote Identity Proofing</w:t>
      </w:r>
    </w:p>
    <w:p w14:paraId="0FDFEA00" w14:textId="0BF6023F" w:rsidR="00FB0524" w:rsidRDefault="00FB0524">
      <w:r w:rsidRPr="001F1E88">
        <w:rPr>
          <w:b/>
        </w:rPr>
        <w:t>Date:</w:t>
      </w:r>
      <w:r>
        <w:t xml:space="preserve"> 201</w:t>
      </w:r>
      <w:r w:rsidR="00623706">
        <w:t>9-06-27</w:t>
      </w:r>
      <w:bookmarkStart w:id="0" w:name="_GoBack"/>
      <w:bookmarkEnd w:id="0"/>
      <w:r w:rsidR="00FB58CD">
        <w:br/>
      </w:r>
      <w:r w:rsidR="00FB58CD" w:rsidRPr="001F1E88">
        <w:rPr>
          <w:b/>
        </w:rPr>
        <w:t>To:</w:t>
      </w:r>
      <w:r w:rsidR="00FB58CD">
        <w:t xml:space="preserve"> Kantara Assurance Review Board, Kantara Identity Assurance Working Group</w:t>
      </w:r>
    </w:p>
    <w:p w14:paraId="0C7C3AA7" w14:textId="6D11AA7D" w:rsidR="00FB58CD" w:rsidRDefault="00FB58CD">
      <w:r w:rsidRPr="001F1E88">
        <w:rPr>
          <w:b/>
        </w:rPr>
        <w:t>CC:</w:t>
      </w:r>
      <w:r>
        <w:t xml:space="preserve"> NIST, GSA</w:t>
      </w:r>
    </w:p>
    <w:p w14:paraId="59C6652F" w14:textId="7FE35E89" w:rsidR="00E51BBD" w:rsidRDefault="00E51BBD">
      <w:r>
        <w:rPr>
          <w:b/>
        </w:rPr>
        <w:t>From:</w:t>
      </w:r>
      <w:r>
        <w:t xml:space="preserve"> Kuma LLC</w:t>
      </w:r>
    </w:p>
    <w:p w14:paraId="50AEB577" w14:textId="585A1FF1" w:rsidR="00B7116C" w:rsidRPr="00B7116C" w:rsidRDefault="00B7116C">
      <w:r w:rsidRPr="001D5EAC">
        <w:rPr>
          <w:b/>
        </w:rPr>
        <w:t xml:space="preserve">Co-signed: </w:t>
      </w:r>
      <w:r w:rsidRPr="001D5EAC">
        <w:t>ID.me</w:t>
      </w:r>
      <w:r w:rsidR="002C754E">
        <w:t>, Zygma</w:t>
      </w:r>
    </w:p>
    <w:p w14:paraId="5CB5D1DA" w14:textId="46407794" w:rsidR="00FB0524" w:rsidRDefault="00FB0524"/>
    <w:p w14:paraId="58CDE334" w14:textId="18553FD8" w:rsidR="00FB0524" w:rsidRPr="001F1E88" w:rsidRDefault="00FB0524">
      <w:pPr>
        <w:rPr>
          <w:b/>
        </w:rPr>
      </w:pPr>
      <w:r w:rsidRPr="001F1E88">
        <w:rPr>
          <w:b/>
        </w:rPr>
        <w:t>Background:</w:t>
      </w:r>
    </w:p>
    <w:p w14:paraId="4E1CF93E" w14:textId="4A14F221" w:rsidR="008D3B0C" w:rsidRDefault="008D3B0C" w:rsidP="00783804">
      <w:pPr>
        <w:spacing w:after="240"/>
      </w:pPr>
      <w:r>
        <w:t>Certain requirements within NIST SP 800-63 rev.3 appear to be very difficult for commercial service providers, and likely most CSPs operating under the auspices of agencies, to fulfill.  Such a case would be a specific part of SP 800-63B, §5.3.2, which is captured in KIAF-14</w:t>
      </w:r>
      <w:r w:rsidR="001D5EAC">
        <w:t>4</w:t>
      </w:r>
      <w:r>
        <w:t>0 as follows: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A3C32" w:rsidRPr="000A536A" w14:paraId="45512223" w14:textId="77777777" w:rsidTr="00783804">
        <w:tc>
          <w:tcPr>
            <w:tcW w:w="4820" w:type="dxa"/>
          </w:tcPr>
          <w:p w14:paraId="4490E992" w14:textId="77777777" w:rsidR="000A3C32" w:rsidRPr="00783804" w:rsidRDefault="000A3C32" w:rsidP="00A16D67">
            <w:pPr>
              <w:spacing w:after="240"/>
              <w:rPr>
                <w:b/>
              </w:rPr>
            </w:pPr>
            <w:r w:rsidRPr="00783804">
              <w:rPr>
                <w:b/>
              </w:rPr>
              <w:t>SP 800-63B  §5.3.2  Use of biometrics</w:t>
            </w:r>
          </w:p>
        </w:tc>
        <w:tc>
          <w:tcPr>
            <w:tcW w:w="5103" w:type="dxa"/>
          </w:tcPr>
          <w:p w14:paraId="065D534B" w14:textId="77777777" w:rsidR="000A3C32" w:rsidRPr="00783804" w:rsidRDefault="000A3C32" w:rsidP="00A16D67">
            <w:pPr>
              <w:spacing w:after="240"/>
              <w:rPr>
                <w:b/>
              </w:rPr>
            </w:pPr>
            <w:r w:rsidRPr="00783804">
              <w:rPr>
                <w:b/>
              </w:rPr>
              <w:t>KIAF-1440</w:t>
            </w:r>
          </w:p>
        </w:tc>
      </w:tr>
      <w:tr w:rsidR="008D3B0C" w14:paraId="5159E15B" w14:textId="77777777" w:rsidTr="00783804">
        <w:tc>
          <w:tcPr>
            <w:tcW w:w="4820" w:type="dxa"/>
          </w:tcPr>
          <w:p w14:paraId="5ADBC718" w14:textId="2B95BB13" w:rsidR="008D3B0C" w:rsidRPr="000A3C32" w:rsidRDefault="000A3C32" w:rsidP="008D3B0C">
            <w:pPr>
              <w:spacing w:after="240"/>
            </w:pPr>
            <w:r w:rsidRPr="00783804">
              <w:rPr>
                <w:rFonts w:ascii="Calibri" w:eastAsia="Times New Roman" w:hAnsi="Calibri" w:cs="Calibri"/>
                <w:color w:val="000000"/>
              </w:rPr>
              <w:t>An authenticated protected channel between sensor (or an endpoint containing a sensor that resists sensor replacement) and verifier SHALL be established and …</w:t>
            </w:r>
          </w:p>
        </w:tc>
        <w:tc>
          <w:tcPr>
            <w:tcW w:w="5103" w:type="dxa"/>
          </w:tcPr>
          <w:p w14:paraId="3C71C188" w14:textId="09ADC232" w:rsidR="008D3B0C" w:rsidRPr="000A3C32" w:rsidRDefault="000A3C32" w:rsidP="008D3B0C">
            <w:pPr>
              <w:spacing w:after="240"/>
            </w:pPr>
            <w:r w:rsidRPr="00783804">
              <w:rPr>
                <w:rFonts w:ascii="Calibri" w:eastAsia="Times New Roman" w:hAnsi="Calibri" w:cs="Calibri"/>
                <w:b/>
                <w:i/>
                <w:iCs/>
              </w:rPr>
              <w:t>63B#1310</w:t>
            </w:r>
            <w:r w:rsidRPr="00783804">
              <w:rPr>
                <w:rFonts w:ascii="Calibri" w:eastAsia="Times New Roman" w:hAnsi="Calibri" w:cs="Calibri"/>
                <w:i/>
                <w:iCs/>
              </w:rPr>
              <w:br/>
              <w:t>The CSP SHALL establish an authenticated protected channel between the sensor (or an endpoint containing a sensor that resists sensor replacement) and the verifier.</w:t>
            </w:r>
          </w:p>
        </w:tc>
      </w:tr>
      <w:tr w:rsidR="008D3B0C" w14:paraId="678991B5" w14:textId="77777777" w:rsidTr="00783804">
        <w:tc>
          <w:tcPr>
            <w:tcW w:w="4820" w:type="dxa"/>
          </w:tcPr>
          <w:p w14:paraId="00274225" w14:textId="776932BA" w:rsidR="008D3B0C" w:rsidRPr="000A3C32" w:rsidRDefault="000A3C32" w:rsidP="008D3B0C">
            <w:pPr>
              <w:spacing w:after="240"/>
            </w:pPr>
            <w:r w:rsidRPr="00783804">
              <w:rPr>
                <w:rFonts w:ascii="Calibri" w:eastAsia="Times New Roman" w:hAnsi="Calibri" w:cs="Calibri"/>
                <w:color w:val="000000"/>
              </w:rPr>
              <w:t>… and the sensor or endpoint authenticated prior to capturing the biometric sample from the claimant.</w:t>
            </w:r>
          </w:p>
        </w:tc>
        <w:tc>
          <w:tcPr>
            <w:tcW w:w="5103" w:type="dxa"/>
          </w:tcPr>
          <w:p w14:paraId="7D212FFF" w14:textId="397B87A8" w:rsidR="008D3B0C" w:rsidRPr="000A3C32" w:rsidRDefault="000A3C32" w:rsidP="008D3B0C">
            <w:pPr>
              <w:spacing w:after="240"/>
            </w:pPr>
            <w:r w:rsidRPr="00783804">
              <w:rPr>
                <w:rFonts w:ascii="Calibri" w:eastAsia="Times New Roman" w:hAnsi="Calibri" w:cs="Calibri"/>
                <w:b/>
                <w:i/>
                <w:iCs/>
              </w:rPr>
              <w:t>63B#1320</w:t>
            </w:r>
            <w:r w:rsidRPr="00783804">
              <w:rPr>
                <w:rFonts w:ascii="Calibri" w:eastAsia="Times New Roman" w:hAnsi="Calibri" w:cs="Calibri"/>
                <w:i/>
                <w:iCs/>
              </w:rPr>
              <w:br/>
              <w:t>The CSP SHALL ensure that the sensor or endpoint is authenticated prior to capturing the biometric sample from the Claimant.</w:t>
            </w:r>
          </w:p>
        </w:tc>
      </w:tr>
    </w:tbl>
    <w:p w14:paraId="3B153654" w14:textId="77777777" w:rsidR="008D3B0C" w:rsidRDefault="008D3B0C" w:rsidP="00783804">
      <w:pPr>
        <w:spacing w:after="240"/>
      </w:pPr>
    </w:p>
    <w:p w14:paraId="31AE46FB" w14:textId="31DE9989" w:rsidR="00D36B02" w:rsidRDefault="00D36B02" w:rsidP="00783804">
      <w:pPr>
        <w:spacing w:after="240"/>
      </w:pPr>
      <w:r>
        <w:t>It should be noted that although this section resides in SP 800-63B, which deals with authentication, the requirements in this clause are invoked from SP 800-63A under the identity proofing requirements.</w:t>
      </w:r>
    </w:p>
    <w:p w14:paraId="5FD4B8B2" w14:textId="74A37E8E" w:rsidR="00213C4C" w:rsidRDefault="00D36B02" w:rsidP="00783804">
      <w:pPr>
        <w:spacing w:after="240"/>
      </w:pPr>
      <w:r>
        <w:t xml:space="preserve">In the context of proofing, </w:t>
      </w:r>
      <w:r w:rsidR="00683367">
        <w:t xml:space="preserve">Kuma’s interpretation of the </w:t>
      </w:r>
      <w:r w:rsidR="000A3C32">
        <w:t>above</w:t>
      </w:r>
      <w:r w:rsidR="00783804">
        <w:t xml:space="preserve"> requirements</w:t>
      </w:r>
      <w:r w:rsidR="00683367">
        <w:t xml:space="preserve"> </w:t>
      </w:r>
      <w:r w:rsidR="000A3C32">
        <w:t xml:space="preserve">is </w:t>
      </w:r>
      <w:r w:rsidR="00213C4C">
        <w:t>that photograph</w:t>
      </w:r>
      <w:r w:rsidR="008D3B0C">
        <w:t>-</w:t>
      </w:r>
      <w:r w:rsidR="00213C4C">
        <w:t xml:space="preserve">based identity verification requires authentication of the </w:t>
      </w:r>
      <w:r w:rsidR="00683367">
        <w:t xml:space="preserve">camera or endpoint capturing the photograph.  This </w:t>
      </w:r>
      <w:r w:rsidR="000A3C32">
        <w:t xml:space="preserve">is </w:t>
      </w:r>
      <w:r w:rsidR="00683367">
        <w:t>due to the following reasoning:</w:t>
      </w:r>
    </w:p>
    <w:p w14:paraId="37B5EC1A" w14:textId="51DE496E" w:rsidR="00BC5BB2" w:rsidRDefault="00FB0524" w:rsidP="00194F6A">
      <w:pPr>
        <w:pStyle w:val="ListParagraph"/>
        <w:numPr>
          <w:ilvl w:val="0"/>
          <w:numId w:val="1"/>
        </w:numPr>
      </w:pPr>
      <w:r>
        <w:t xml:space="preserve">IAL2 </w:t>
      </w:r>
      <w:r w:rsidR="00315B73">
        <w:t xml:space="preserve">requires </w:t>
      </w:r>
      <w:r w:rsidR="00BC5BB2">
        <w:t xml:space="preserve">strong </w:t>
      </w:r>
      <w:r w:rsidR="00452BF2">
        <w:t>verification</w:t>
      </w:r>
      <w:r w:rsidR="00BC5BB2">
        <w:t xml:space="preserve"> </w:t>
      </w:r>
      <w:r w:rsidR="00194F6A">
        <w:t xml:space="preserve">of the binding of the identity to the evidence </w:t>
      </w:r>
      <w:r w:rsidR="00BC5BB2">
        <w:t>(</w:t>
      </w:r>
      <w:r w:rsidR="000A3C32">
        <w:t xml:space="preserve">SP </w:t>
      </w:r>
      <w:r w:rsidR="00783804">
        <w:t xml:space="preserve">800-63A </w:t>
      </w:r>
      <w:r w:rsidR="000A3C32">
        <w:t xml:space="preserve"> §</w:t>
      </w:r>
      <w:r w:rsidR="006414E7">
        <w:t>4.4.1.4)</w:t>
      </w:r>
    </w:p>
    <w:p w14:paraId="15D75658" w14:textId="4D06FCBB" w:rsidR="006414E7" w:rsidRDefault="006414E7" w:rsidP="00194F6A">
      <w:pPr>
        <w:pStyle w:val="ListParagraph"/>
        <w:numPr>
          <w:ilvl w:val="0"/>
          <w:numId w:val="1"/>
        </w:numPr>
      </w:pPr>
      <w:r>
        <w:t xml:space="preserve">Strong verification requires either </w:t>
      </w:r>
      <w:r w:rsidR="00410546">
        <w:t>physical comparison of the applicant to the photograph on their strongest evidence, or biometric validation of the same (</w:t>
      </w:r>
      <w:r w:rsidR="000A3C32">
        <w:t xml:space="preserve">SP </w:t>
      </w:r>
      <w:r w:rsidR="00410546">
        <w:t>800-63A</w:t>
      </w:r>
      <w:r w:rsidR="00041395">
        <w:t xml:space="preserve"> </w:t>
      </w:r>
      <w:r w:rsidR="000A3C32">
        <w:t xml:space="preserve"> </w:t>
      </w:r>
      <w:r w:rsidR="00041395">
        <w:t>Table 5-3)</w:t>
      </w:r>
    </w:p>
    <w:p w14:paraId="42A94361" w14:textId="1D441688" w:rsidR="00041395" w:rsidRDefault="00041395" w:rsidP="00194F6A">
      <w:pPr>
        <w:pStyle w:val="ListParagraph"/>
        <w:numPr>
          <w:ilvl w:val="0"/>
          <w:numId w:val="1"/>
        </w:numPr>
      </w:pPr>
      <w:r>
        <w:t xml:space="preserve">In either case the verification process is required to conform to </w:t>
      </w:r>
      <w:r w:rsidR="000A3C32">
        <w:t xml:space="preserve">SP </w:t>
      </w:r>
      <w:r>
        <w:t>800-</w:t>
      </w:r>
      <w:proofErr w:type="gramStart"/>
      <w:r>
        <w:t xml:space="preserve">63B </w:t>
      </w:r>
      <w:r w:rsidR="000A3C32">
        <w:t xml:space="preserve"> §</w:t>
      </w:r>
      <w:proofErr w:type="gramEnd"/>
      <w:r>
        <w:t>5.2.3</w:t>
      </w:r>
      <w:r w:rsidR="000A4AD2">
        <w:t>.</w:t>
      </w:r>
    </w:p>
    <w:p w14:paraId="385866A5" w14:textId="4663932A" w:rsidR="000A4AD2" w:rsidRDefault="000A4AD2" w:rsidP="00194F6A">
      <w:pPr>
        <w:pStyle w:val="ListParagraph"/>
        <w:numPr>
          <w:ilvl w:val="0"/>
          <w:numId w:val="1"/>
        </w:numPr>
      </w:pPr>
      <w:r>
        <w:t>The referenced section requires the establishment of an “authenticated protected channel</w:t>
      </w:r>
      <w:r w:rsidR="00150609">
        <w:t>” between the camera capturing the image of the applicant, or the endpoint containing that camera.</w:t>
      </w:r>
    </w:p>
    <w:p w14:paraId="75117B4F" w14:textId="6C7492D3" w:rsidR="00145717" w:rsidRDefault="00145717" w:rsidP="00145717"/>
    <w:p w14:paraId="4F31997E" w14:textId="7F543E1B" w:rsidR="00145717" w:rsidRDefault="00145717" w:rsidP="00145717">
      <w:r>
        <w:t>Because there is no universal authentication scheme for consumer-owned equipment such as laptops and mobile phones, this requirement is not achievable in a model whereby applicants register for service via thei</w:t>
      </w:r>
      <w:r w:rsidR="00D6248A">
        <w:t>r own equipment.</w:t>
      </w:r>
    </w:p>
    <w:p w14:paraId="5DDF94B5" w14:textId="6558CA2E" w:rsidR="00D6248A" w:rsidRDefault="00D6248A" w:rsidP="00145717"/>
    <w:p w14:paraId="1A512C2B" w14:textId="582126A9" w:rsidR="00D6248A" w:rsidRDefault="004F1164" w:rsidP="00145717">
      <w:r>
        <w:lastRenderedPageBreak/>
        <w:t>On 2018-05-31, NIST published Frequently Asked Questions about SP 800-63</w:t>
      </w:r>
      <w:r w:rsidR="000A3C32">
        <w:t xml:space="preserve"> rev.</w:t>
      </w:r>
      <w:r>
        <w:t>3, and one of the responses shed some light on this topic.</w:t>
      </w:r>
      <w:r w:rsidR="00F43C8A">
        <w:t xml:space="preserve">  Question A2 asked “</w:t>
      </w:r>
      <w:r w:rsidR="00F43C8A" w:rsidRPr="00783804">
        <w:rPr>
          <w:i/>
        </w:rPr>
        <w:t>What is the difference between supervised remote identity proofing and unsupervised remote identity proofing?</w:t>
      </w:r>
      <w:r w:rsidR="00F43C8A">
        <w:t>”</w:t>
      </w:r>
      <w:r w:rsidR="00EE7E45">
        <w:t xml:space="preserve">  The answer points </w:t>
      </w:r>
      <w:r w:rsidR="00410AA0">
        <w:t xml:space="preserve">out that </w:t>
      </w:r>
      <w:r w:rsidR="000A3C32">
        <w:t xml:space="preserve">SP </w:t>
      </w:r>
      <w:r w:rsidR="00410AA0">
        <w:t>800-</w:t>
      </w:r>
      <w:proofErr w:type="gramStart"/>
      <w:r w:rsidR="00410AA0">
        <w:t xml:space="preserve">63A </w:t>
      </w:r>
      <w:r w:rsidR="000A3C32">
        <w:t xml:space="preserve"> §</w:t>
      </w:r>
      <w:proofErr w:type="gramEnd"/>
      <w:r w:rsidR="00410AA0">
        <w:t>5.3.3.2 includes a number of req</w:t>
      </w:r>
      <w:r w:rsidR="00104A0D">
        <w:t xml:space="preserve">uirements for supervised remote that distinguish it from unsupervised remote.  The FAQ response includes the following </w:t>
      </w:r>
      <w:r w:rsidR="00991C1F">
        <w:t>rationale</w:t>
      </w:r>
      <w:r w:rsidR="00104A0D">
        <w:t>:</w:t>
      </w:r>
    </w:p>
    <w:p w14:paraId="4F282098" w14:textId="77777777" w:rsidR="00104A0D" w:rsidRDefault="00104A0D" w:rsidP="00145717"/>
    <w:p w14:paraId="4B54FB59" w14:textId="4E30BA10" w:rsidR="00104A0D" w:rsidRDefault="000259A3" w:rsidP="00104A0D">
      <w:pPr>
        <w:pStyle w:val="ListParagraph"/>
        <w:numPr>
          <w:ilvl w:val="0"/>
          <w:numId w:val="2"/>
        </w:numPr>
      </w:pPr>
      <w:r>
        <w:t>S</w:t>
      </w:r>
      <w:r w:rsidR="00B36E9D">
        <w:t xml:space="preserve">upervised remote identity proofing </w:t>
      </w:r>
      <w:r>
        <w:t>uses</w:t>
      </w:r>
      <w:r w:rsidR="00B36E9D">
        <w:t xml:space="preserve"> a video connection to a human operator, </w:t>
      </w:r>
      <w:r w:rsidR="000032A9">
        <w:t>made over an agency-owned device, not the applicant</w:t>
      </w:r>
      <w:r w:rsidR="00991C1F">
        <w:t>’</w:t>
      </w:r>
      <w:r w:rsidR="000032A9">
        <w:t>s personal phone</w:t>
      </w:r>
      <w:r w:rsidR="00B36E9D">
        <w:t>.</w:t>
      </w:r>
    </w:p>
    <w:p w14:paraId="3E5ED21A" w14:textId="6A421E48" w:rsidR="00725CB2" w:rsidRDefault="00725CB2" w:rsidP="00104A0D">
      <w:pPr>
        <w:pStyle w:val="ListParagraph"/>
        <w:numPr>
          <w:ilvl w:val="0"/>
          <w:numId w:val="2"/>
        </w:numPr>
      </w:pPr>
      <w:r>
        <w:t>If the above</w:t>
      </w:r>
      <w:r w:rsidR="00574AFE">
        <w:t xml:space="preserve"> and other controls are met, the supervised remote identity proofing achieves IAL3.</w:t>
      </w:r>
    </w:p>
    <w:p w14:paraId="5C3AEC32" w14:textId="05908E32" w:rsidR="000259A3" w:rsidRDefault="000259A3" w:rsidP="00104A0D">
      <w:pPr>
        <w:pStyle w:val="ListParagraph"/>
        <w:numPr>
          <w:ilvl w:val="0"/>
          <w:numId w:val="2"/>
        </w:numPr>
      </w:pPr>
      <w:r>
        <w:t xml:space="preserve">Unsupervised remote identity proofing “typically </w:t>
      </w:r>
      <w:r w:rsidR="00725CB2">
        <w:t>involves commodity hardware and services”.</w:t>
      </w:r>
    </w:p>
    <w:p w14:paraId="15ABC612" w14:textId="2B54C3C3" w:rsidR="00574AFE" w:rsidRDefault="00574AFE" w:rsidP="00574AFE"/>
    <w:p w14:paraId="6DE6CE67" w14:textId="0A6B22B0" w:rsidR="00574AFE" w:rsidRDefault="0054459C" w:rsidP="00574AFE">
      <w:r>
        <w:t>From the first two bullets it is clear that s</w:t>
      </w:r>
      <w:r w:rsidR="00574AFE">
        <w:t xml:space="preserve">upervised remote identity proofing </w:t>
      </w:r>
      <w:r>
        <w:t>that uses applicant-owned devices could achieve IAL2.   The reference to “commodity hardware” also indicates that applicant-owned devices are permissible for unsupervised remote identity proofing.</w:t>
      </w:r>
    </w:p>
    <w:p w14:paraId="4B1E6219" w14:textId="67A640B5" w:rsidR="0054459C" w:rsidRDefault="0054459C" w:rsidP="00574AFE"/>
    <w:p w14:paraId="4116BEF2" w14:textId="2BF86D75" w:rsidR="001F1E88" w:rsidRDefault="004E39D2" w:rsidP="00574AFE">
      <w:r>
        <w:t xml:space="preserve">Based on the reasoning above, </w:t>
      </w:r>
      <w:r w:rsidR="000A3C32">
        <w:t>Kuma</w:t>
      </w:r>
      <w:r>
        <w:t xml:space="preserve"> </w:t>
      </w:r>
      <w:r w:rsidR="00CD6D5D">
        <w:t>conclude</w:t>
      </w:r>
      <w:r w:rsidR="000A3C32">
        <w:t>s</w:t>
      </w:r>
      <w:r w:rsidR="00CF04B4">
        <w:t xml:space="preserve"> that applicant-owned </w:t>
      </w:r>
      <w:r w:rsidR="00D36B02">
        <w:t xml:space="preserve">(i.e. ‘commodity’) </w:t>
      </w:r>
      <w:r w:rsidR="00CF04B4">
        <w:t>hardware is permissible for unsupervised remote identity proofing at IAL2.</w:t>
      </w:r>
      <w:r w:rsidR="000B1C6C">
        <w:t xml:space="preserve">  </w:t>
      </w:r>
      <w:r w:rsidR="00000767">
        <w:t xml:space="preserve">  The wording of the FAQ seems to imply that applicant-owned hardware would also be permissible for supervised remote identity proofing at IAL2, but not </w:t>
      </w:r>
      <w:r w:rsidR="00D36B02">
        <w:t xml:space="preserve">at </w:t>
      </w:r>
      <w:r w:rsidR="00000767">
        <w:t>IAL3.</w:t>
      </w:r>
      <w:r w:rsidR="00122FFA">
        <w:t xml:space="preserve">  Therefore we recommend removing this provision by limiting the respective criteria to biometric authentication, not for identity verification.</w:t>
      </w:r>
    </w:p>
    <w:p w14:paraId="6B0F1033" w14:textId="77777777" w:rsidR="001F1E88" w:rsidRDefault="001F1E88" w:rsidP="00574AFE"/>
    <w:p w14:paraId="40D9D54E" w14:textId="5835BC16" w:rsidR="00CF04B4" w:rsidRDefault="000B1C6C" w:rsidP="00574AFE">
      <w:r>
        <w:t xml:space="preserve">The verifier is still required to make a determination of camera/endpoint </w:t>
      </w:r>
      <w:r w:rsidR="00333C8D">
        <w:t>perf</w:t>
      </w:r>
      <w:r w:rsidR="001F1E88">
        <w:t>ormance</w:t>
      </w:r>
      <w:r w:rsidR="00914EE1">
        <w:t>, integrity and authenticity, but other methods are permitted aside from authentication of the endpoint.</w:t>
      </w:r>
    </w:p>
    <w:p w14:paraId="207D816B" w14:textId="09DAAF28" w:rsidR="00216E35" w:rsidRDefault="00216E35" w:rsidP="00574AFE"/>
    <w:p w14:paraId="257E375F" w14:textId="42118769" w:rsidR="00216E35" w:rsidRDefault="0035621E" w:rsidP="00574AFE">
      <w:pPr>
        <w:rPr>
          <w:b/>
        </w:rPr>
      </w:pPr>
      <w:r>
        <w:rPr>
          <w:b/>
        </w:rPr>
        <w:t>Recommendation for Kantara</w:t>
      </w:r>
      <w:r w:rsidR="00216E35">
        <w:rPr>
          <w:b/>
        </w:rPr>
        <w:t>:</w:t>
      </w:r>
    </w:p>
    <w:p w14:paraId="5CD3818A" w14:textId="36A1BD6B" w:rsidR="00216E35" w:rsidRDefault="00216E35" w:rsidP="00574AFE">
      <w:r>
        <w:t>Update the Kantara SAC</w:t>
      </w:r>
      <w:r w:rsidR="00BF426F">
        <w:t xml:space="preserve"> 63B#1310</w:t>
      </w:r>
      <w:r w:rsidR="00AB23EA">
        <w:t xml:space="preserve"> and 63B#1320</w:t>
      </w:r>
      <w:r w:rsidR="00F264BF">
        <w:t xml:space="preserve">: </w:t>
      </w:r>
      <w:r w:rsidR="00012EDF">
        <w:t>Change the first word “The” to “</w:t>
      </w:r>
      <w:r w:rsidR="00B56969">
        <w:t>When using</w:t>
      </w:r>
      <w:r w:rsidR="00012EDF">
        <w:t xml:space="preserve"> biometric</w:t>
      </w:r>
      <w:r w:rsidR="00B56969">
        <w:t>s for</w:t>
      </w:r>
      <w:r w:rsidR="00012EDF">
        <w:t xml:space="preserve"> a</w:t>
      </w:r>
      <w:r>
        <w:t>uthentication</w:t>
      </w:r>
      <w:r w:rsidR="00B56969">
        <w:t xml:space="preserve">, </w:t>
      </w:r>
      <w:r w:rsidR="006F7C5A">
        <w:t>the”.</w:t>
      </w:r>
    </w:p>
    <w:p w14:paraId="75EC7BF9" w14:textId="0C5CF1F3" w:rsidR="001A1329" w:rsidRDefault="001A1329" w:rsidP="00574AFE"/>
    <w:p w14:paraId="64BABFBB" w14:textId="77E54E1F" w:rsidR="001A1329" w:rsidRDefault="001A1329" w:rsidP="00574AFE">
      <w:r>
        <w:t xml:space="preserve">See also 2018-K-03 which recommends that the method of identity proofing be stated in the public service description </w:t>
      </w:r>
      <w:r w:rsidR="00EA5028">
        <w:t>of</w:t>
      </w:r>
      <w:r>
        <w:t xml:space="preserve"> the S3A.</w:t>
      </w:r>
    </w:p>
    <w:p w14:paraId="35848E54" w14:textId="77777777" w:rsidR="0035621E" w:rsidRDefault="0035621E" w:rsidP="00574AFE"/>
    <w:p w14:paraId="3954F56C" w14:textId="796FA58D" w:rsidR="0035621E" w:rsidRDefault="0035621E" w:rsidP="00574AFE">
      <w:r w:rsidRPr="001B3967">
        <w:rPr>
          <w:b/>
        </w:rPr>
        <w:t>Request to NIST</w:t>
      </w:r>
      <w:r>
        <w:t>:</w:t>
      </w:r>
    </w:p>
    <w:p w14:paraId="4B2EFA99" w14:textId="7A7AEE57" w:rsidR="0035621E" w:rsidRPr="00216E35" w:rsidRDefault="0035621E" w:rsidP="00574AFE">
      <w:r>
        <w:t xml:space="preserve">Please review the above and provide the community with a formal response against which application of SP 800-63 rev.3 can be confidently </w:t>
      </w:r>
      <w:proofErr w:type="gramStart"/>
      <w:r>
        <w:t>effected</w:t>
      </w:r>
      <w:proofErr w:type="gramEnd"/>
      <w:r>
        <w:t>, e.g.in the form of an erratum to the necessary clauses of the suite as a whole.</w:t>
      </w:r>
    </w:p>
    <w:sectPr w:rsidR="0035621E" w:rsidRPr="00216E35" w:rsidSect="008D3B0C">
      <w:footerReference w:type="even" r:id="rId8"/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BD8B" w14:textId="77777777" w:rsidR="002441A8" w:rsidRDefault="002441A8" w:rsidP="004E39D2">
      <w:r>
        <w:separator/>
      </w:r>
    </w:p>
  </w:endnote>
  <w:endnote w:type="continuationSeparator" w:id="0">
    <w:p w14:paraId="01C8F5A0" w14:textId="77777777" w:rsidR="002441A8" w:rsidRDefault="002441A8" w:rsidP="004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88556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43E57" w14:textId="4D7A292B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26BFF" w14:textId="77777777" w:rsidR="004E39D2" w:rsidRDefault="004E3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819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26866" w14:textId="5FF5A040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396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5BD351" w14:textId="77777777" w:rsidR="004E39D2" w:rsidRDefault="004E39D2" w:rsidP="004E39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F4436" w14:textId="77777777" w:rsidR="002441A8" w:rsidRDefault="002441A8" w:rsidP="004E39D2">
      <w:r>
        <w:separator/>
      </w:r>
    </w:p>
  </w:footnote>
  <w:footnote w:type="continuationSeparator" w:id="0">
    <w:p w14:paraId="31297378" w14:textId="77777777" w:rsidR="002441A8" w:rsidRDefault="002441A8" w:rsidP="004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B8"/>
    <w:multiLevelType w:val="hybridMultilevel"/>
    <w:tmpl w:val="9B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282"/>
    <w:multiLevelType w:val="hybridMultilevel"/>
    <w:tmpl w:val="3F3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D"/>
    <w:rsid w:val="00000767"/>
    <w:rsid w:val="000032A9"/>
    <w:rsid w:val="00012EDF"/>
    <w:rsid w:val="000259A3"/>
    <w:rsid w:val="00041395"/>
    <w:rsid w:val="00047EAA"/>
    <w:rsid w:val="00081783"/>
    <w:rsid w:val="000A3C32"/>
    <w:rsid w:val="000A4AD2"/>
    <w:rsid w:val="000A536A"/>
    <w:rsid w:val="000B1C6C"/>
    <w:rsid w:val="00104A0D"/>
    <w:rsid w:val="00122FFA"/>
    <w:rsid w:val="001250BA"/>
    <w:rsid w:val="00145717"/>
    <w:rsid w:val="00150609"/>
    <w:rsid w:val="00194F6A"/>
    <w:rsid w:val="001A1329"/>
    <w:rsid w:val="001B02A9"/>
    <w:rsid w:val="001B3967"/>
    <w:rsid w:val="001D5EAC"/>
    <w:rsid w:val="001F1E88"/>
    <w:rsid w:val="00213C4C"/>
    <w:rsid w:val="00216E35"/>
    <w:rsid w:val="002441A8"/>
    <w:rsid w:val="002C1E17"/>
    <w:rsid w:val="002C754E"/>
    <w:rsid w:val="00315B73"/>
    <w:rsid w:val="00333C8D"/>
    <w:rsid w:val="0035621E"/>
    <w:rsid w:val="003D7B9D"/>
    <w:rsid w:val="00410546"/>
    <w:rsid w:val="00410AA0"/>
    <w:rsid w:val="00452BF2"/>
    <w:rsid w:val="004E39D2"/>
    <w:rsid w:val="004F1164"/>
    <w:rsid w:val="0054459C"/>
    <w:rsid w:val="00574AFE"/>
    <w:rsid w:val="00617EB5"/>
    <w:rsid w:val="00623706"/>
    <w:rsid w:val="006414E7"/>
    <w:rsid w:val="006566C1"/>
    <w:rsid w:val="00676722"/>
    <w:rsid w:val="00683367"/>
    <w:rsid w:val="006F7C5A"/>
    <w:rsid w:val="00725CB2"/>
    <w:rsid w:val="00783804"/>
    <w:rsid w:val="00835585"/>
    <w:rsid w:val="00842D6A"/>
    <w:rsid w:val="00847CCA"/>
    <w:rsid w:val="00895E40"/>
    <w:rsid w:val="008D3B0C"/>
    <w:rsid w:val="008E1E69"/>
    <w:rsid w:val="00914EE1"/>
    <w:rsid w:val="009559FA"/>
    <w:rsid w:val="00991C1F"/>
    <w:rsid w:val="009B4DE0"/>
    <w:rsid w:val="00AB23EA"/>
    <w:rsid w:val="00AC5D64"/>
    <w:rsid w:val="00B27836"/>
    <w:rsid w:val="00B36E9D"/>
    <w:rsid w:val="00B56969"/>
    <w:rsid w:val="00B7116C"/>
    <w:rsid w:val="00BC5BB2"/>
    <w:rsid w:val="00BF426F"/>
    <w:rsid w:val="00C8427B"/>
    <w:rsid w:val="00CD6D5D"/>
    <w:rsid w:val="00CE734E"/>
    <w:rsid w:val="00CF04B4"/>
    <w:rsid w:val="00D36B02"/>
    <w:rsid w:val="00D6248A"/>
    <w:rsid w:val="00D72852"/>
    <w:rsid w:val="00E51BBD"/>
    <w:rsid w:val="00E83981"/>
    <w:rsid w:val="00E8571D"/>
    <w:rsid w:val="00EA5028"/>
    <w:rsid w:val="00EE7E45"/>
    <w:rsid w:val="00F264BF"/>
    <w:rsid w:val="00F43C8A"/>
    <w:rsid w:val="00F555E0"/>
    <w:rsid w:val="00FB0524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8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paragraph" w:styleId="BalloonText">
    <w:name w:val="Balloon Text"/>
    <w:basedOn w:val="Normal"/>
    <w:link w:val="BalloonTextChar"/>
    <w:uiPriority w:val="99"/>
    <w:semiHidden/>
    <w:unhideWhenUsed/>
    <w:rsid w:val="008D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paragraph" w:styleId="BalloonText">
    <w:name w:val="Balloon Text"/>
    <w:basedOn w:val="Normal"/>
    <w:link w:val="BalloonTextChar"/>
    <w:uiPriority w:val="99"/>
    <w:semiHidden/>
    <w:unhideWhenUsed/>
    <w:rsid w:val="008D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Shorter</dc:creator>
  <cp:lastModifiedBy>RGW@Zygma</cp:lastModifiedBy>
  <cp:revision>3</cp:revision>
  <dcterms:created xsi:type="dcterms:W3CDTF">2019-06-27T15:28:00Z</dcterms:created>
  <dcterms:modified xsi:type="dcterms:W3CDTF">2019-06-27T15:29:00Z</dcterms:modified>
</cp:coreProperties>
</file>