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8B5ED" w14:textId="77777777" w:rsidR="008C7E49" w:rsidRPr="008C7E49" w:rsidRDefault="008C7E49" w:rsidP="008C7E49">
      <w:pPr>
        <w:spacing w:line="276" w:lineRule="auto"/>
        <w:ind w:left="4320" w:firstLine="720"/>
        <w:rPr>
          <w:rFonts w:ascii="Arial" w:eastAsia="Arial" w:hAnsi="Arial" w:cs="Arial"/>
          <w:lang w:val="en"/>
        </w:rPr>
      </w:pPr>
      <w:r w:rsidRPr="008C7E49">
        <w:rPr>
          <w:rFonts w:ascii="Arial" w:eastAsia="Arial" w:hAnsi="Arial" w:cs="Arial"/>
          <w:noProof/>
          <w:lang w:val="en"/>
        </w:rPr>
        <w:drawing>
          <wp:inline distT="114300" distB="114300" distL="114300" distR="114300" wp14:anchorId="3FCD06AE" wp14:editId="3786295D">
            <wp:extent cx="2628900" cy="1009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28900" cy="1009650"/>
                    </a:xfrm>
                    <a:prstGeom prst="rect">
                      <a:avLst/>
                    </a:prstGeom>
                    <a:ln/>
                  </pic:spPr>
                </pic:pic>
              </a:graphicData>
            </a:graphic>
          </wp:inline>
        </w:drawing>
      </w:r>
    </w:p>
    <w:p w14:paraId="7D582B4D" w14:textId="77777777" w:rsidR="00436FD3" w:rsidRDefault="00436FD3" w:rsidP="009043B4">
      <w:pPr>
        <w:pStyle w:val="p1"/>
        <w:divId w:val="83309198"/>
        <w:rPr>
          <w:rFonts w:ascii="Times New Roman" w:eastAsia="Arial" w:hAnsi="Times New Roman"/>
          <w:sz w:val="24"/>
          <w:szCs w:val="24"/>
          <w:lang w:val="en"/>
        </w:rPr>
      </w:pPr>
    </w:p>
    <w:p w14:paraId="452FEB3D" w14:textId="77777777" w:rsidR="00611380" w:rsidRDefault="00611380" w:rsidP="009043B4">
      <w:pPr>
        <w:pStyle w:val="p1"/>
        <w:divId w:val="83309198"/>
        <w:rPr>
          <w:rFonts w:ascii="Times New Roman" w:eastAsia="Arial" w:hAnsi="Times New Roman"/>
          <w:sz w:val="24"/>
          <w:szCs w:val="24"/>
          <w:lang w:val="en"/>
        </w:rPr>
      </w:pPr>
    </w:p>
    <w:p w14:paraId="1320CCC1" w14:textId="4651A4E6" w:rsidR="008C7E49" w:rsidRPr="008C7E49" w:rsidRDefault="008C7E49" w:rsidP="009043B4">
      <w:pPr>
        <w:pStyle w:val="p1"/>
        <w:divId w:val="83309198"/>
        <w:rPr>
          <w:rFonts w:ascii="Times New Roman" w:hAnsi="Times New Roman"/>
          <w:sz w:val="24"/>
          <w:szCs w:val="24"/>
        </w:rPr>
      </w:pPr>
      <w:r w:rsidRPr="008C7E49">
        <w:rPr>
          <w:rFonts w:ascii="Times New Roman" w:eastAsia="Arial" w:hAnsi="Times New Roman"/>
          <w:sz w:val="24"/>
          <w:szCs w:val="24"/>
          <w:lang w:val="en"/>
        </w:rPr>
        <w:t xml:space="preserve">Kantara is pleased to provide </w:t>
      </w:r>
      <w:r w:rsidR="001B125E">
        <w:rPr>
          <w:rFonts w:ascii="Times New Roman" w:eastAsia="Arial" w:hAnsi="Times New Roman"/>
          <w:sz w:val="24"/>
          <w:szCs w:val="24"/>
          <w:lang w:val="en"/>
        </w:rPr>
        <w:t xml:space="preserve">responses </w:t>
      </w:r>
      <w:r w:rsidR="00A83B65">
        <w:rPr>
          <w:rFonts w:ascii="Times New Roman" w:eastAsia="Arial" w:hAnsi="Times New Roman"/>
          <w:sz w:val="24"/>
          <w:szCs w:val="24"/>
          <w:lang w:val="en"/>
        </w:rPr>
        <w:t xml:space="preserve">to the questions posed </w:t>
      </w:r>
      <w:r w:rsidRPr="008C7E49">
        <w:rPr>
          <w:rFonts w:ascii="Times New Roman" w:eastAsia="Arial" w:hAnsi="Times New Roman"/>
          <w:sz w:val="24"/>
          <w:szCs w:val="24"/>
          <w:lang w:val="en"/>
        </w:rPr>
        <w:t xml:space="preserve">the UK DCMS </w:t>
      </w:r>
      <w:r w:rsidR="003D69B8">
        <w:rPr>
          <w:rFonts w:ascii="Times New Roman" w:eastAsia="Arial" w:hAnsi="Times New Roman"/>
          <w:sz w:val="24"/>
          <w:szCs w:val="24"/>
          <w:lang w:val="en"/>
        </w:rPr>
        <w:t xml:space="preserve">in their </w:t>
      </w:r>
      <w:r w:rsidR="001B75CD" w:rsidRPr="009043B4">
        <w:rPr>
          <w:rFonts w:ascii="Times New Roman" w:hAnsi="Times New Roman"/>
          <w:sz w:val="24"/>
          <w:szCs w:val="24"/>
        </w:rPr>
        <w:t xml:space="preserve">open consultation on </w:t>
      </w:r>
      <w:r w:rsidR="0017416D">
        <w:rPr>
          <w:rFonts w:ascii="Times New Roman" w:hAnsi="Times New Roman"/>
          <w:sz w:val="24"/>
          <w:szCs w:val="24"/>
        </w:rPr>
        <w:t xml:space="preserve">digital </w:t>
      </w:r>
      <w:r w:rsidR="001B75CD" w:rsidRPr="009043B4">
        <w:rPr>
          <w:rFonts w:ascii="Times New Roman" w:hAnsi="Times New Roman"/>
          <w:sz w:val="24"/>
          <w:szCs w:val="24"/>
        </w:rPr>
        <w:t>identity and attributes</w:t>
      </w:r>
      <w:r w:rsidR="009043B4">
        <w:rPr>
          <w:rFonts w:ascii="Times New Roman" w:hAnsi="Times New Roman"/>
          <w:sz w:val="24"/>
          <w:szCs w:val="24"/>
        </w:rPr>
        <w:t>.</w:t>
      </w:r>
    </w:p>
    <w:p w14:paraId="6C5BC910" w14:textId="77777777" w:rsidR="008C7E49" w:rsidRPr="008C7E49" w:rsidRDefault="008C7E49" w:rsidP="008C7E49">
      <w:pPr>
        <w:spacing w:line="276" w:lineRule="auto"/>
        <w:rPr>
          <w:rFonts w:ascii="Times New Roman" w:eastAsia="Arial" w:hAnsi="Times New Roman" w:cs="Times New Roman"/>
          <w:sz w:val="24"/>
          <w:szCs w:val="24"/>
          <w:lang w:val="en"/>
        </w:rPr>
      </w:pPr>
    </w:p>
    <w:p w14:paraId="183D4BC6" w14:textId="5F7A682E" w:rsidR="008C7E49" w:rsidRPr="008C7E49" w:rsidRDefault="008C7E49" w:rsidP="008C7E49">
      <w:pPr>
        <w:spacing w:line="276" w:lineRule="auto"/>
        <w:rPr>
          <w:rFonts w:ascii="Times New Roman" w:eastAsia="Arial" w:hAnsi="Times New Roman" w:cs="Times New Roman"/>
          <w:sz w:val="24"/>
          <w:szCs w:val="24"/>
          <w:lang w:val="en"/>
        </w:rPr>
      </w:pPr>
      <w:r w:rsidRPr="008C7E49">
        <w:rPr>
          <w:rFonts w:ascii="Times New Roman" w:eastAsia="Arial" w:hAnsi="Times New Roman" w:cs="Times New Roman"/>
          <w:sz w:val="24"/>
          <w:szCs w:val="24"/>
          <w:lang w:val="en"/>
        </w:rPr>
        <w:t>Kantara is the leading global consortium whose mission is to grow and fulfill the market for trustworthy use of identity and personal data.</w:t>
      </w:r>
      <w:r w:rsidR="00222637">
        <w:rPr>
          <w:rFonts w:ascii="Times New Roman" w:eastAsia="Arial" w:hAnsi="Times New Roman" w:cs="Times New Roman"/>
          <w:sz w:val="24"/>
          <w:szCs w:val="24"/>
          <w:lang w:val="en"/>
        </w:rPr>
        <w:t xml:space="preserve"> </w:t>
      </w:r>
      <w:r w:rsidRPr="008C7E49">
        <w:rPr>
          <w:rFonts w:ascii="Times New Roman" w:eastAsia="Arial" w:hAnsi="Times New Roman" w:cs="Times New Roman"/>
          <w:sz w:val="24"/>
          <w:szCs w:val="24"/>
          <w:lang w:val="en"/>
        </w:rPr>
        <w:t>To fulfill this mission Kantara operates an independent third-party conformity assessment program for the digital identity and personal data ecosystems.</w:t>
      </w:r>
      <w:r w:rsidR="00222637">
        <w:rPr>
          <w:rFonts w:ascii="Times New Roman" w:eastAsia="Arial" w:hAnsi="Times New Roman" w:cs="Times New Roman"/>
          <w:sz w:val="24"/>
          <w:szCs w:val="24"/>
          <w:lang w:val="en"/>
        </w:rPr>
        <w:t xml:space="preserve"> </w:t>
      </w:r>
      <w:r w:rsidRPr="008C7E49">
        <w:rPr>
          <w:rFonts w:ascii="Times New Roman" w:eastAsia="Arial" w:hAnsi="Times New Roman" w:cs="Times New Roman"/>
          <w:sz w:val="24"/>
          <w:szCs w:val="24"/>
          <w:lang w:val="en"/>
        </w:rPr>
        <w:t>In addition to this Kantara has, since its inception in 2009, provided real-world innovation through its development of specifications, such as UMA 2.0, Consent Receipt, applied R&amp;D, and its Identity Assurance (Trust) Framework (IAF).</w:t>
      </w:r>
      <w:r w:rsidR="00222637">
        <w:rPr>
          <w:rFonts w:ascii="Times New Roman" w:eastAsia="Arial" w:hAnsi="Times New Roman" w:cs="Times New Roman"/>
          <w:sz w:val="24"/>
          <w:szCs w:val="24"/>
          <w:lang w:val="en"/>
        </w:rPr>
        <w:t xml:space="preserve"> </w:t>
      </w:r>
      <w:r w:rsidRPr="008C7E49">
        <w:rPr>
          <w:rFonts w:ascii="Times New Roman" w:eastAsia="Arial" w:hAnsi="Times New Roman" w:cs="Times New Roman"/>
          <w:sz w:val="24"/>
          <w:szCs w:val="24"/>
          <w:lang w:val="en"/>
        </w:rPr>
        <w:t xml:space="preserve">More information is available at </w:t>
      </w:r>
      <w:hyperlink r:id="rId6" w:history="1">
        <w:r w:rsidRPr="008C7E49">
          <w:rPr>
            <w:rFonts w:ascii="Times New Roman" w:eastAsia="Arial" w:hAnsi="Times New Roman" w:cs="Times New Roman"/>
            <w:sz w:val="24"/>
            <w:szCs w:val="24"/>
            <w:lang w:val="en"/>
          </w:rPr>
          <w:t>https://kantarainitiative.org/trustoperations/</w:t>
        </w:r>
      </w:hyperlink>
      <w:r w:rsidRPr="008C7E49">
        <w:rPr>
          <w:rFonts w:ascii="Times New Roman" w:eastAsia="Arial" w:hAnsi="Times New Roman" w:cs="Times New Roman"/>
          <w:sz w:val="24"/>
          <w:szCs w:val="24"/>
          <w:lang w:val="en"/>
        </w:rPr>
        <w:t xml:space="preserve"> or contact us at </w:t>
      </w:r>
      <w:hyperlink r:id="rId7" w:history="1">
        <w:r w:rsidRPr="008C7E49">
          <w:rPr>
            <w:rFonts w:ascii="Times New Roman" w:eastAsia="Arial" w:hAnsi="Times New Roman" w:cs="Times New Roman"/>
            <w:color w:val="0563C1" w:themeColor="hyperlink"/>
            <w:sz w:val="24"/>
            <w:szCs w:val="24"/>
            <w:u w:val="single"/>
            <w:lang w:val="en"/>
          </w:rPr>
          <w:t>staff@KantaraInitiative.org</w:t>
        </w:r>
      </w:hyperlink>
      <w:r w:rsidRPr="008C7E49">
        <w:rPr>
          <w:rFonts w:ascii="Times New Roman" w:eastAsia="Arial" w:hAnsi="Times New Roman" w:cs="Times New Roman"/>
          <w:sz w:val="24"/>
          <w:szCs w:val="24"/>
          <w:lang w:val="en"/>
        </w:rPr>
        <w:t>.</w:t>
      </w:r>
    </w:p>
    <w:p w14:paraId="0290A035" w14:textId="77777777" w:rsidR="008C7E49" w:rsidRPr="008C7E49" w:rsidRDefault="008C7E49" w:rsidP="008C7E49">
      <w:pPr>
        <w:spacing w:line="276" w:lineRule="auto"/>
        <w:rPr>
          <w:rFonts w:ascii="Times New Roman" w:eastAsia="Arial" w:hAnsi="Times New Roman" w:cs="Times New Roman"/>
          <w:sz w:val="24"/>
          <w:szCs w:val="24"/>
          <w:lang w:val="en"/>
        </w:rPr>
      </w:pPr>
    </w:p>
    <w:p w14:paraId="015ECA5A" w14:textId="4EB311E4" w:rsidR="008C7E49" w:rsidRPr="008C7E49" w:rsidRDefault="008C7E49" w:rsidP="008C7E49">
      <w:pPr>
        <w:spacing w:line="276" w:lineRule="auto"/>
        <w:rPr>
          <w:rFonts w:ascii="Times New Roman" w:eastAsia="Arial" w:hAnsi="Times New Roman" w:cs="Times New Roman"/>
          <w:sz w:val="24"/>
          <w:szCs w:val="24"/>
          <w:lang w:val="en"/>
        </w:rPr>
      </w:pPr>
      <w:r w:rsidRPr="008C7E49">
        <w:rPr>
          <w:rFonts w:ascii="Times New Roman" w:eastAsia="Arial" w:hAnsi="Times New Roman" w:cs="Times New Roman"/>
          <w:sz w:val="24"/>
          <w:szCs w:val="24"/>
          <w:lang w:val="en"/>
        </w:rPr>
        <w:t>This submission was developed by participants in Kantara’s Identity Assurance Work Group (IAWG).</w:t>
      </w:r>
      <w:r w:rsidR="00222637">
        <w:rPr>
          <w:rFonts w:ascii="Times New Roman" w:eastAsia="Arial" w:hAnsi="Times New Roman" w:cs="Times New Roman"/>
          <w:sz w:val="24"/>
          <w:szCs w:val="24"/>
          <w:lang w:val="en"/>
        </w:rPr>
        <w:t xml:space="preserve"> </w:t>
      </w:r>
      <w:r w:rsidRPr="008C7E49">
        <w:rPr>
          <w:rFonts w:ascii="Times New Roman" w:eastAsia="Arial" w:hAnsi="Times New Roman" w:cs="Times New Roman"/>
          <w:sz w:val="24"/>
          <w:szCs w:val="24"/>
          <w:lang w:val="en"/>
        </w:rPr>
        <w:t>The IAWG consists of individuals from both the public and private sectors with extensive experience in the identity industry including assessing identity services for conformance to established requirements, developing requirements for identity services, and implementing and providing identity related products and services.</w:t>
      </w:r>
    </w:p>
    <w:p w14:paraId="2C85A1E9" w14:textId="77777777" w:rsidR="008C7E49" w:rsidRPr="008C7E49" w:rsidRDefault="008C7E49" w:rsidP="008C7E49">
      <w:pPr>
        <w:spacing w:line="276" w:lineRule="auto"/>
        <w:rPr>
          <w:rFonts w:ascii="Times New Roman" w:eastAsia="Arial" w:hAnsi="Times New Roman" w:cs="Times New Roman"/>
          <w:sz w:val="24"/>
          <w:szCs w:val="24"/>
          <w:lang w:val="en"/>
        </w:rPr>
      </w:pPr>
    </w:p>
    <w:p w14:paraId="17905E7D" w14:textId="77777777" w:rsidR="009F157E" w:rsidRDefault="00687922" w:rsidP="008C7E49">
      <w:pPr>
        <w:spacing w:line="276" w:lineRule="auto"/>
        <w:rPr>
          <w:rFonts w:ascii="Times New Roman" w:eastAsia="Arial" w:hAnsi="Times New Roman" w:cs="Times New Roman"/>
          <w:sz w:val="24"/>
          <w:szCs w:val="24"/>
          <w:lang w:val="en"/>
        </w:rPr>
      </w:pPr>
      <w:r>
        <w:rPr>
          <w:rFonts w:ascii="Times New Roman" w:eastAsia="Arial" w:hAnsi="Times New Roman" w:cs="Times New Roman"/>
          <w:sz w:val="24"/>
          <w:szCs w:val="24"/>
          <w:lang w:val="en"/>
        </w:rPr>
        <w:t>Kantara</w:t>
      </w:r>
      <w:r w:rsidR="008C7E49" w:rsidRPr="008C7E49">
        <w:rPr>
          <w:rFonts w:ascii="Times New Roman" w:eastAsia="Arial" w:hAnsi="Times New Roman" w:cs="Times New Roman"/>
          <w:sz w:val="24"/>
          <w:szCs w:val="24"/>
          <w:lang w:val="en"/>
        </w:rPr>
        <w:t xml:space="preserve"> continue</w:t>
      </w:r>
      <w:r>
        <w:rPr>
          <w:rFonts w:ascii="Times New Roman" w:eastAsia="Arial" w:hAnsi="Times New Roman" w:cs="Times New Roman"/>
          <w:sz w:val="24"/>
          <w:szCs w:val="24"/>
          <w:lang w:val="en"/>
        </w:rPr>
        <w:t>s</w:t>
      </w:r>
      <w:r w:rsidR="008C7E49" w:rsidRPr="008C7E49">
        <w:rPr>
          <w:rFonts w:ascii="Times New Roman" w:eastAsia="Arial" w:hAnsi="Times New Roman" w:cs="Times New Roman"/>
          <w:sz w:val="24"/>
          <w:szCs w:val="24"/>
          <w:lang w:val="en"/>
        </w:rPr>
        <w:t xml:space="preserve"> to invite the United Kingdom team to keep Kantara apprised of its progress.</w:t>
      </w:r>
    </w:p>
    <w:p w14:paraId="7B0ABB3C" w14:textId="243B71FB" w:rsidR="008C7E49" w:rsidRPr="008C7E49" w:rsidRDefault="008C7E49" w:rsidP="008C7E49">
      <w:pPr>
        <w:spacing w:line="276" w:lineRule="auto"/>
        <w:rPr>
          <w:rFonts w:ascii="Times New Roman" w:eastAsia="Arial" w:hAnsi="Times New Roman" w:cs="Times New Roman"/>
          <w:sz w:val="24"/>
          <w:szCs w:val="24"/>
          <w:lang w:val="en"/>
        </w:rPr>
      </w:pPr>
    </w:p>
    <w:p w14:paraId="4E407F4D" w14:textId="7893641E" w:rsidR="00BC1D68" w:rsidRDefault="00BC1D68" w:rsidP="00EE768F">
      <w:pPr>
        <w:pStyle w:val="Heading2"/>
        <w:rPr>
          <w:rFonts w:eastAsia="Arial"/>
          <w:lang w:val="en"/>
        </w:rPr>
      </w:pPr>
      <w:r>
        <w:rPr>
          <w:rFonts w:eastAsia="Arial"/>
          <w:lang w:val="en"/>
        </w:rPr>
        <w:t>Overall Comment</w:t>
      </w:r>
      <w:r w:rsidR="00E2427C">
        <w:rPr>
          <w:rFonts w:eastAsia="Arial"/>
          <w:lang w:val="en"/>
        </w:rPr>
        <w:t>s</w:t>
      </w:r>
    </w:p>
    <w:p w14:paraId="5F466092" w14:textId="77777777" w:rsidR="00BC1D68" w:rsidRDefault="00BC1D68" w:rsidP="00456881">
      <w:pPr>
        <w:spacing w:line="276" w:lineRule="auto"/>
        <w:rPr>
          <w:rFonts w:ascii="Times New Roman" w:eastAsia="Arial" w:hAnsi="Times New Roman" w:cs="Times New Roman"/>
          <w:sz w:val="24"/>
          <w:szCs w:val="24"/>
          <w:lang w:val="en"/>
        </w:rPr>
      </w:pPr>
    </w:p>
    <w:p w14:paraId="44614B22" w14:textId="1C09BCF1" w:rsidR="005C78D7" w:rsidRPr="00456881" w:rsidRDefault="008C7E49" w:rsidP="00456881">
      <w:pPr>
        <w:spacing w:line="276" w:lineRule="auto"/>
        <w:rPr>
          <w:rStyle w:val="s1"/>
          <w:rFonts w:ascii="Times New Roman" w:eastAsia="Arial" w:hAnsi="Times New Roman" w:cs="Times New Roman"/>
          <w:sz w:val="24"/>
          <w:szCs w:val="24"/>
          <w:lang w:val="en"/>
        </w:rPr>
      </w:pPr>
      <w:r w:rsidRPr="008C7E49">
        <w:rPr>
          <w:rFonts w:ascii="Times New Roman" w:eastAsia="Arial" w:hAnsi="Times New Roman" w:cs="Times New Roman"/>
          <w:sz w:val="24"/>
          <w:szCs w:val="24"/>
          <w:lang w:val="en"/>
        </w:rPr>
        <w:t>Kantara has the following overall comment</w:t>
      </w:r>
      <w:r w:rsidR="00E2427C">
        <w:rPr>
          <w:rFonts w:ascii="Times New Roman" w:eastAsia="Arial" w:hAnsi="Times New Roman" w:cs="Times New Roman"/>
          <w:sz w:val="24"/>
          <w:szCs w:val="24"/>
          <w:lang w:val="en"/>
        </w:rPr>
        <w:t>s</w:t>
      </w:r>
      <w:r w:rsidRPr="008C7E49">
        <w:rPr>
          <w:rFonts w:ascii="Times New Roman" w:eastAsia="Arial" w:hAnsi="Times New Roman" w:cs="Times New Roman"/>
          <w:sz w:val="24"/>
          <w:szCs w:val="24"/>
          <w:lang w:val="en"/>
        </w:rPr>
        <w:t xml:space="preserve"> on the </w:t>
      </w:r>
      <w:r w:rsidR="00B71849">
        <w:rPr>
          <w:rFonts w:ascii="Times New Roman" w:eastAsia="Arial" w:hAnsi="Times New Roman" w:cs="Times New Roman"/>
          <w:sz w:val="24"/>
          <w:szCs w:val="24"/>
          <w:lang w:val="en"/>
        </w:rPr>
        <w:t>information presented by the DCMS.</w:t>
      </w:r>
    </w:p>
    <w:p w14:paraId="638C34A3" w14:textId="77777777" w:rsidR="005C78D7" w:rsidRPr="00456881" w:rsidRDefault="005C78D7">
      <w:pPr>
        <w:pStyle w:val="p1"/>
        <w:rPr>
          <w:rStyle w:val="s1"/>
          <w:rFonts w:ascii="Times New Roman" w:hAnsi="Times New Roman"/>
          <w:sz w:val="24"/>
          <w:szCs w:val="24"/>
        </w:rPr>
      </w:pPr>
    </w:p>
    <w:p w14:paraId="25E08362" w14:textId="77777777" w:rsidR="007B79D7" w:rsidRDefault="005C78D7" w:rsidP="008C7E49">
      <w:pPr>
        <w:pStyle w:val="ListParagraph"/>
        <w:numPr>
          <w:ilvl w:val="0"/>
          <w:numId w:val="21"/>
        </w:numPr>
        <w:rPr>
          <w:rStyle w:val="s1"/>
          <w:rFonts w:ascii="Times New Roman" w:hAnsi="Times New Roman" w:cs="Times New Roman"/>
          <w:sz w:val="24"/>
          <w:szCs w:val="24"/>
        </w:rPr>
      </w:pPr>
      <w:r w:rsidRPr="00E2427C">
        <w:rPr>
          <w:rStyle w:val="s1"/>
          <w:rFonts w:ascii="Times New Roman" w:hAnsi="Times New Roman" w:cs="Times New Roman"/>
          <w:sz w:val="24"/>
          <w:szCs w:val="24"/>
        </w:rPr>
        <w:t xml:space="preserve">Change </w:t>
      </w:r>
      <w:r w:rsidR="00A71A6D" w:rsidRPr="00E2427C">
        <w:rPr>
          <w:rStyle w:val="s1"/>
          <w:rFonts w:ascii="Times New Roman" w:hAnsi="Times New Roman" w:cs="Times New Roman"/>
          <w:sz w:val="24"/>
          <w:szCs w:val="24"/>
        </w:rPr>
        <w:t xml:space="preserve">the </w:t>
      </w:r>
      <w:r w:rsidR="003D15F6" w:rsidRPr="00E2427C">
        <w:rPr>
          <w:rStyle w:val="s1"/>
          <w:rFonts w:ascii="Times New Roman" w:hAnsi="Times New Roman" w:cs="Times New Roman"/>
          <w:sz w:val="24"/>
          <w:szCs w:val="24"/>
        </w:rPr>
        <w:t>concept</w:t>
      </w:r>
      <w:r w:rsidR="00A71A6D" w:rsidRPr="00E2427C">
        <w:rPr>
          <w:rStyle w:val="s1"/>
          <w:rFonts w:ascii="Times New Roman" w:hAnsi="Times New Roman" w:cs="Times New Roman"/>
          <w:sz w:val="24"/>
          <w:szCs w:val="24"/>
        </w:rPr>
        <w:t xml:space="preserve"> </w:t>
      </w:r>
      <w:r w:rsidRPr="00E2427C">
        <w:rPr>
          <w:rStyle w:val="s1"/>
          <w:rFonts w:ascii="Times New Roman" w:hAnsi="Times New Roman" w:cs="Times New Roman"/>
          <w:sz w:val="24"/>
          <w:szCs w:val="24"/>
        </w:rPr>
        <w:t xml:space="preserve">from </w:t>
      </w:r>
      <w:r w:rsidR="00093E92" w:rsidRPr="00E2427C">
        <w:rPr>
          <w:rStyle w:val="s1"/>
          <w:rFonts w:ascii="Times New Roman" w:hAnsi="Times New Roman" w:cs="Times New Roman"/>
          <w:sz w:val="24"/>
          <w:szCs w:val="24"/>
        </w:rPr>
        <w:t>“</w:t>
      </w:r>
      <w:r w:rsidRPr="00E2427C">
        <w:rPr>
          <w:rStyle w:val="s1"/>
          <w:rFonts w:ascii="Times New Roman" w:hAnsi="Times New Roman" w:cs="Times New Roman"/>
          <w:sz w:val="24"/>
          <w:szCs w:val="24"/>
        </w:rPr>
        <w:t>providing and using Digital Identity</w:t>
      </w:r>
      <w:r w:rsidR="00093E92" w:rsidRPr="00E2427C">
        <w:rPr>
          <w:rStyle w:val="s1"/>
          <w:rFonts w:ascii="Times New Roman" w:hAnsi="Times New Roman" w:cs="Times New Roman"/>
          <w:sz w:val="24"/>
          <w:szCs w:val="24"/>
        </w:rPr>
        <w:t>”</w:t>
      </w:r>
      <w:r w:rsidRPr="00E2427C">
        <w:rPr>
          <w:rStyle w:val="s1"/>
          <w:rFonts w:ascii="Times New Roman" w:hAnsi="Times New Roman" w:cs="Times New Roman"/>
          <w:sz w:val="24"/>
          <w:szCs w:val="24"/>
        </w:rPr>
        <w:t xml:space="preserve"> to </w:t>
      </w:r>
      <w:r w:rsidR="00093E92" w:rsidRPr="00E2427C">
        <w:rPr>
          <w:rStyle w:val="s1"/>
          <w:rFonts w:ascii="Times New Roman" w:hAnsi="Times New Roman" w:cs="Times New Roman"/>
          <w:sz w:val="24"/>
          <w:szCs w:val="24"/>
        </w:rPr>
        <w:t>“</w:t>
      </w:r>
      <w:r w:rsidRPr="00E2427C">
        <w:rPr>
          <w:rStyle w:val="s1"/>
          <w:rFonts w:ascii="Times New Roman" w:hAnsi="Times New Roman" w:cs="Times New Roman"/>
          <w:sz w:val="24"/>
          <w:szCs w:val="24"/>
        </w:rPr>
        <w:t>enabling Digital Identification</w:t>
      </w:r>
      <w:r w:rsidR="00093E92" w:rsidRPr="00E2427C">
        <w:rPr>
          <w:rStyle w:val="s1"/>
          <w:rFonts w:ascii="Times New Roman" w:hAnsi="Times New Roman" w:cs="Times New Roman"/>
          <w:sz w:val="24"/>
          <w:szCs w:val="24"/>
        </w:rPr>
        <w:t>”</w:t>
      </w:r>
      <w:r w:rsidRPr="00E2427C">
        <w:rPr>
          <w:rStyle w:val="s1"/>
          <w:rFonts w:ascii="Times New Roman" w:hAnsi="Times New Roman" w:cs="Times New Roman"/>
          <w:sz w:val="24"/>
          <w:szCs w:val="24"/>
        </w:rPr>
        <w:t>.</w:t>
      </w:r>
    </w:p>
    <w:p w14:paraId="41DD69FA" w14:textId="77777777" w:rsidR="007B79D7" w:rsidRDefault="007B79D7" w:rsidP="007B79D7">
      <w:pPr>
        <w:pStyle w:val="ListParagraph"/>
        <w:rPr>
          <w:rStyle w:val="s1"/>
          <w:rFonts w:ascii="Times New Roman" w:hAnsi="Times New Roman" w:cs="Times New Roman"/>
          <w:sz w:val="24"/>
          <w:szCs w:val="24"/>
        </w:rPr>
      </w:pPr>
    </w:p>
    <w:p w14:paraId="28517833" w14:textId="77777777" w:rsidR="007B79D7" w:rsidRDefault="005C78D7" w:rsidP="007B79D7">
      <w:pPr>
        <w:pStyle w:val="ListParagraph"/>
        <w:rPr>
          <w:rStyle w:val="s1"/>
          <w:rFonts w:ascii="Times New Roman" w:hAnsi="Times New Roman" w:cs="Times New Roman"/>
          <w:sz w:val="24"/>
          <w:szCs w:val="24"/>
        </w:rPr>
      </w:pPr>
      <w:r w:rsidRPr="007B79D7">
        <w:rPr>
          <w:rStyle w:val="s1"/>
          <w:rFonts w:ascii="Times New Roman" w:hAnsi="Times New Roman" w:cs="Times New Roman"/>
          <w:sz w:val="24"/>
          <w:szCs w:val="24"/>
        </w:rPr>
        <w:t>This changes puts the focus on why digital attributes are being checked or used.</w:t>
      </w:r>
      <w:r w:rsidR="00A917F7" w:rsidRPr="007B79D7">
        <w:rPr>
          <w:rStyle w:val="apple-converted-space"/>
          <w:rFonts w:ascii="Times New Roman" w:hAnsi="Times New Roman" w:cs="Times New Roman"/>
          <w:sz w:val="24"/>
          <w:szCs w:val="24"/>
        </w:rPr>
        <w:t xml:space="preserve"> </w:t>
      </w:r>
      <w:r w:rsidRPr="007B79D7">
        <w:rPr>
          <w:rStyle w:val="s1"/>
          <w:rFonts w:ascii="Times New Roman" w:hAnsi="Times New Roman" w:cs="Times New Roman"/>
          <w:sz w:val="24"/>
          <w:szCs w:val="24"/>
        </w:rPr>
        <w:t xml:space="preserve">It will also change the perception of Government becoming “big brother” and holding the digital identity of citizens. Rather, it changes the perception to the Government using the information it already has </w:t>
      </w:r>
      <w:r w:rsidR="00550CFD" w:rsidRPr="007B79D7">
        <w:rPr>
          <w:rStyle w:val="s1"/>
          <w:rFonts w:ascii="Times New Roman" w:hAnsi="Times New Roman" w:cs="Times New Roman"/>
          <w:sz w:val="24"/>
          <w:szCs w:val="24"/>
        </w:rPr>
        <w:t>collected</w:t>
      </w:r>
      <w:r w:rsidR="007D5BAC" w:rsidRPr="007B79D7">
        <w:rPr>
          <w:rStyle w:val="s1"/>
          <w:rFonts w:ascii="Times New Roman" w:hAnsi="Times New Roman" w:cs="Times New Roman"/>
          <w:sz w:val="24"/>
          <w:szCs w:val="24"/>
        </w:rPr>
        <w:t xml:space="preserve"> about</w:t>
      </w:r>
      <w:r w:rsidRPr="007B79D7">
        <w:rPr>
          <w:rStyle w:val="s1"/>
          <w:rFonts w:ascii="Times New Roman" w:hAnsi="Times New Roman" w:cs="Times New Roman"/>
          <w:sz w:val="24"/>
          <w:szCs w:val="24"/>
        </w:rPr>
        <w:t xml:space="preserve"> citizens </w:t>
      </w:r>
      <w:r w:rsidR="007D5BAC" w:rsidRPr="007B79D7">
        <w:rPr>
          <w:rStyle w:val="s1"/>
          <w:rFonts w:ascii="Times New Roman" w:hAnsi="Times New Roman" w:cs="Times New Roman"/>
          <w:sz w:val="24"/>
          <w:szCs w:val="24"/>
        </w:rPr>
        <w:t xml:space="preserve">for other purposes </w:t>
      </w:r>
      <w:r w:rsidRPr="007B79D7">
        <w:rPr>
          <w:rStyle w:val="s1"/>
          <w:rFonts w:ascii="Times New Roman" w:hAnsi="Times New Roman" w:cs="Times New Roman"/>
          <w:sz w:val="24"/>
          <w:szCs w:val="24"/>
        </w:rPr>
        <w:t xml:space="preserve">to enable </w:t>
      </w:r>
      <w:r w:rsidR="00D52F4D" w:rsidRPr="007B79D7">
        <w:rPr>
          <w:rStyle w:val="s1"/>
          <w:rFonts w:ascii="Times New Roman" w:hAnsi="Times New Roman" w:cs="Times New Roman"/>
          <w:sz w:val="24"/>
          <w:szCs w:val="24"/>
        </w:rPr>
        <w:t>other</w:t>
      </w:r>
      <w:r w:rsidRPr="007B79D7">
        <w:rPr>
          <w:rStyle w:val="s1"/>
          <w:rFonts w:ascii="Times New Roman" w:hAnsi="Times New Roman" w:cs="Times New Roman"/>
          <w:sz w:val="24"/>
          <w:szCs w:val="24"/>
        </w:rPr>
        <w:t xml:space="preserve"> organization</w:t>
      </w:r>
      <w:r w:rsidR="00D52F4D" w:rsidRPr="007B79D7">
        <w:rPr>
          <w:rStyle w:val="s1"/>
          <w:rFonts w:ascii="Times New Roman" w:hAnsi="Times New Roman" w:cs="Times New Roman"/>
          <w:sz w:val="24"/>
          <w:szCs w:val="24"/>
        </w:rPr>
        <w:t>s</w:t>
      </w:r>
      <w:r w:rsidRPr="007B79D7">
        <w:rPr>
          <w:rStyle w:val="s1"/>
          <w:rFonts w:ascii="Times New Roman" w:hAnsi="Times New Roman" w:cs="Times New Roman"/>
          <w:sz w:val="24"/>
          <w:szCs w:val="24"/>
        </w:rPr>
        <w:t xml:space="preserve"> to identify a citizen in order to provide them with a service.</w:t>
      </w:r>
      <w:r w:rsidR="007B79D7">
        <w:rPr>
          <w:rStyle w:val="s1"/>
          <w:rFonts w:ascii="Times New Roman" w:hAnsi="Times New Roman" w:cs="Times New Roman"/>
          <w:sz w:val="24"/>
          <w:szCs w:val="24"/>
        </w:rPr>
        <w:t xml:space="preserve"> </w:t>
      </w:r>
    </w:p>
    <w:p w14:paraId="3D71E2E3" w14:textId="7F4229FB" w:rsidR="005C78D7" w:rsidRPr="007B79D7" w:rsidRDefault="005C78D7" w:rsidP="007B79D7">
      <w:pPr>
        <w:pStyle w:val="ListParagraph"/>
        <w:rPr>
          <w:rFonts w:ascii="Times New Roman" w:hAnsi="Times New Roman" w:cs="Times New Roman"/>
          <w:sz w:val="24"/>
          <w:szCs w:val="24"/>
        </w:rPr>
      </w:pPr>
      <w:r w:rsidRPr="006D7D5E">
        <w:rPr>
          <w:rStyle w:val="s1"/>
          <w:rFonts w:ascii="Times New Roman" w:hAnsi="Times New Roman"/>
          <w:sz w:val="24"/>
          <w:szCs w:val="24"/>
        </w:rPr>
        <w:t xml:space="preserve">As an example of this subtle switch </w:t>
      </w:r>
      <w:r w:rsidR="00585B74">
        <w:rPr>
          <w:rStyle w:val="s1"/>
          <w:rFonts w:ascii="Times New Roman" w:hAnsi="Times New Roman"/>
          <w:sz w:val="24"/>
          <w:szCs w:val="24"/>
        </w:rPr>
        <w:t xml:space="preserve">in concept, </w:t>
      </w:r>
      <w:r w:rsidRPr="006D7D5E">
        <w:rPr>
          <w:rStyle w:val="s1"/>
          <w:rFonts w:ascii="Times New Roman" w:hAnsi="Times New Roman"/>
          <w:sz w:val="24"/>
          <w:szCs w:val="24"/>
        </w:rPr>
        <w:t>the following two paragraphs were reworded:</w:t>
      </w:r>
    </w:p>
    <w:p w14:paraId="5519E1D3" w14:textId="77777777" w:rsidR="005C78D7" w:rsidRPr="006D7D5E" w:rsidRDefault="005C78D7">
      <w:pPr>
        <w:pStyle w:val="p2"/>
        <w:rPr>
          <w:rFonts w:ascii="Times New Roman" w:hAnsi="Times New Roman"/>
          <w:sz w:val="24"/>
          <w:szCs w:val="24"/>
        </w:rPr>
      </w:pPr>
    </w:p>
    <w:p w14:paraId="20A2F572" w14:textId="77777777" w:rsidR="00285C87" w:rsidRDefault="005C78D7" w:rsidP="00285C87">
      <w:pPr>
        <w:pStyle w:val="p1"/>
        <w:ind w:left="1134"/>
        <w:rPr>
          <w:rFonts w:ascii="Times New Roman" w:hAnsi="Times New Roman"/>
          <w:sz w:val="24"/>
          <w:szCs w:val="24"/>
        </w:rPr>
      </w:pPr>
      <w:r w:rsidRPr="006D7D5E">
        <w:rPr>
          <w:rStyle w:val="s1"/>
          <w:rFonts w:ascii="Times New Roman" w:hAnsi="Times New Roman"/>
          <w:sz w:val="24"/>
          <w:szCs w:val="24"/>
        </w:rPr>
        <w:lastRenderedPageBreak/>
        <w:t xml:space="preserve">Online authentication, </w:t>
      </w:r>
      <w:r w:rsidRPr="006D7D5E">
        <w:rPr>
          <w:rStyle w:val="s2"/>
          <w:rFonts w:ascii="Times New Roman" w:hAnsi="Times New Roman"/>
          <w:sz w:val="24"/>
          <w:szCs w:val="24"/>
        </w:rPr>
        <w:t>identity</w:t>
      </w:r>
      <w:r w:rsidRPr="006D7D5E">
        <w:rPr>
          <w:rStyle w:val="s1"/>
          <w:rFonts w:ascii="Times New Roman" w:hAnsi="Times New Roman"/>
          <w:sz w:val="24"/>
          <w:szCs w:val="24"/>
        </w:rPr>
        <w:t xml:space="preserve"> and eligibility solutions can increase security, ease of use and accessibility to public services. They are central to transforming the delivery and efficiency of public services and people’s ability to operate confidently in an increasingly digital economy. It is estimated that widespread use of digital </w:t>
      </w:r>
      <w:r w:rsidRPr="006D7D5E">
        <w:rPr>
          <w:rStyle w:val="s2"/>
          <w:rFonts w:ascii="Times New Roman" w:hAnsi="Times New Roman"/>
          <w:sz w:val="24"/>
          <w:szCs w:val="24"/>
        </w:rPr>
        <w:t>identity</w:t>
      </w:r>
      <w:r w:rsidRPr="006D7D5E">
        <w:rPr>
          <w:rStyle w:val="s1"/>
          <w:rFonts w:ascii="Times New Roman" w:hAnsi="Times New Roman"/>
          <w:sz w:val="24"/>
          <w:szCs w:val="24"/>
        </w:rPr>
        <w:t xml:space="preserve"> products would be worth around £800m per year to the UK economy. Widespread use of digital </w:t>
      </w:r>
      <w:r w:rsidRPr="006D7D5E">
        <w:rPr>
          <w:rStyle w:val="s2"/>
          <w:rFonts w:ascii="Times New Roman" w:hAnsi="Times New Roman"/>
          <w:sz w:val="24"/>
          <w:szCs w:val="24"/>
        </w:rPr>
        <w:t>identity</w:t>
      </w:r>
      <w:r w:rsidRPr="006D7D5E">
        <w:rPr>
          <w:rStyle w:val="s1"/>
          <w:rFonts w:ascii="Times New Roman" w:hAnsi="Times New Roman"/>
          <w:sz w:val="24"/>
          <w:szCs w:val="24"/>
        </w:rPr>
        <w:t xml:space="preserve"> products could also help to reduce the record levels of abuse of personal data and impersonation to commit fraud in the UK, with over 220,000 cases reported in 2019.</w:t>
      </w:r>
    </w:p>
    <w:p w14:paraId="1E807397" w14:textId="77777777" w:rsidR="00285C87" w:rsidRDefault="00285C87" w:rsidP="00285C87">
      <w:pPr>
        <w:pStyle w:val="p1"/>
        <w:ind w:left="1134"/>
        <w:rPr>
          <w:rFonts w:ascii="Times New Roman" w:hAnsi="Times New Roman"/>
          <w:sz w:val="24"/>
          <w:szCs w:val="24"/>
        </w:rPr>
      </w:pPr>
    </w:p>
    <w:p w14:paraId="3C88084B" w14:textId="26AEE47E" w:rsidR="005C78D7" w:rsidRPr="006D7D5E" w:rsidRDefault="005C78D7" w:rsidP="00285C87">
      <w:pPr>
        <w:pStyle w:val="p1"/>
        <w:ind w:left="1134"/>
        <w:rPr>
          <w:rFonts w:ascii="Times New Roman" w:hAnsi="Times New Roman"/>
          <w:sz w:val="24"/>
          <w:szCs w:val="24"/>
        </w:rPr>
      </w:pPr>
      <w:r w:rsidRPr="006D7D5E">
        <w:rPr>
          <w:rStyle w:val="s1"/>
          <w:rFonts w:ascii="Times New Roman" w:hAnsi="Times New Roman"/>
          <w:sz w:val="24"/>
          <w:szCs w:val="24"/>
        </w:rPr>
        <w:t xml:space="preserve">The government is committed to realising the benefits of digital </w:t>
      </w:r>
      <w:r w:rsidRPr="006D7D5E">
        <w:rPr>
          <w:rStyle w:val="s2"/>
          <w:rFonts w:ascii="Times New Roman" w:hAnsi="Times New Roman"/>
          <w:sz w:val="24"/>
          <w:szCs w:val="24"/>
        </w:rPr>
        <w:t>identity</w:t>
      </w:r>
      <w:r w:rsidRPr="006D7D5E">
        <w:rPr>
          <w:rStyle w:val="s1"/>
          <w:rFonts w:ascii="Times New Roman" w:hAnsi="Times New Roman"/>
          <w:sz w:val="24"/>
          <w:szCs w:val="24"/>
        </w:rPr>
        <w:t xml:space="preserve">, without creating ID cards. Earlier this year we published a draft of the </w:t>
      </w:r>
      <w:hyperlink r:id="rId8" w:history="1">
        <w:r w:rsidRPr="006D7D5E">
          <w:rPr>
            <w:rStyle w:val="s3"/>
            <w:rFonts w:ascii="Times New Roman" w:hAnsi="Times New Roman"/>
            <w:sz w:val="24"/>
            <w:szCs w:val="24"/>
          </w:rPr>
          <w:t>UK digital identity and attributes trust framework</w:t>
        </w:r>
      </w:hyperlink>
      <w:r w:rsidRPr="006D7D5E">
        <w:rPr>
          <w:rStyle w:val="s1"/>
          <w:rFonts w:ascii="Times New Roman" w:hAnsi="Times New Roman"/>
          <w:sz w:val="24"/>
          <w:szCs w:val="24"/>
        </w:rPr>
        <w:t xml:space="preserve">. This document sets out what rules and standards are needed to protect people’s sensitive </w:t>
      </w:r>
      <w:r w:rsidRPr="006D7D5E">
        <w:rPr>
          <w:rStyle w:val="s2"/>
          <w:rFonts w:ascii="Times New Roman" w:hAnsi="Times New Roman"/>
          <w:sz w:val="24"/>
          <w:szCs w:val="24"/>
        </w:rPr>
        <w:t>identity</w:t>
      </w:r>
      <w:r w:rsidRPr="006D7D5E">
        <w:rPr>
          <w:rStyle w:val="s1"/>
          <w:rFonts w:ascii="Times New Roman" w:hAnsi="Times New Roman"/>
          <w:sz w:val="24"/>
          <w:szCs w:val="24"/>
        </w:rPr>
        <w:t xml:space="preserve"> data when used digitally. We will put in place the necessary framework and tools so that digital </w:t>
      </w:r>
      <w:r w:rsidRPr="006D7D5E">
        <w:rPr>
          <w:rStyle w:val="s2"/>
          <w:rFonts w:ascii="Times New Roman" w:hAnsi="Times New Roman"/>
          <w:sz w:val="24"/>
          <w:szCs w:val="24"/>
        </w:rPr>
        <w:t>identity</w:t>
      </w:r>
      <w:r w:rsidRPr="006D7D5E">
        <w:rPr>
          <w:rStyle w:val="s1"/>
          <w:rFonts w:ascii="Times New Roman" w:hAnsi="Times New Roman"/>
          <w:sz w:val="24"/>
          <w:szCs w:val="24"/>
        </w:rPr>
        <w:t xml:space="preserve"> products enhance privacy, transparency, confidence and inclusion, and that users are able to control their data, in line with the principles published in the </w:t>
      </w:r>
      <w:hyperlink r:id="rId9" w:history="1">
        <w:r w:rsidRPr="006D7D5E">
          <w:rPr>
            <w:rStyle w:val="s3"/>
            <w:rFonts w:ascii="Times New Roman" w:hAnsi="Times New Roman"/>
            <w:sz w:val="24"/>
            <w:szCs w:val="24"/>
          </w:rPr>
          <w:t>2019 Call for Evidence response</w:t>
        </w:r>
      </w:hyperlink>
      <w:r w:rsidRPr="006D7D5E">
        <w:rPr>
          <w:rStyle w:val="s1"/>
          <w:rFonts w:ascii="Times New Roman" w:hAnsi="Times New Roman"/>
          <w:sz w:val="24"/>
          <w:szCs w:val="24"/>
        </w:rPr>
        <w:t xml:space="preserve">. We are also developing and piloting a new ‘One Login for Government’ system that will make it easier for everyone to access government services, with users only having to provide data to prove </w:t>
      </w:r>
      <w:r w:rsidRPr="006D7D5E">
        <w:rPr>
          <w:rStyle w:val="s2"/>
          <w:rFonts w:ascii="Times New Roman" w:hAnsi="Times New Roman"/>
          <w:sz w:val="24"/>
          <w:szCs w:val="24"/>
        </w:rPr>
        <w:t>their identity</w:t>
      </w:r>
      <w:r w:rsidRPr="006D7D5E">
        <w:rPr>
          <w:rStyle w:val="s1"/>
          <w:rFonts w:ascii="Times New Roman" w:hAnsi="Times New Roman"/>
          <w:sz w:val="24"/>
          <w:szCs w:val="24"/>
        </w:rPr>
        <w:t xml:space="preserve"> once, and protecting privacy throughout.</w:t>
      </w:r>
    </w:p>
    <w:p w14:paraId="49B305AE" w14:textId="77777777" w:rsidR="005C78D7" w:rsidRPr="006D7D5E" w:rsidRDefault="005C78D7">
      <w:pPr>
        <w:pStyle w:val="p2"/>
        <w:rPr>
          <w:rFonts w:ascii="Times New Roman" w:hAnsi="Times New Roman"/>
          <w:sz w:val="24"/>
          <w:szCs w:val="24"/>
        </w:rPr>
      </w:pPr>
    </w:p>
    <w:p w14:paraId="73EDB548" w14:textId="77777777" w:rsidR="005C78D7" w:rsidRPr="006D7D5E" w:rsidRDefault="005C78D7" w:rsidP="00CB0C36">
      <w:pPr>
        <w:pStyle w:val="p1"/>
        <w:ind w:left="709"/>
        <w:rPr>
          <w:rFonts w:ascii="Times New Roman" w:hAnsi="Times New Roman"/>
          <w:sz w:val="24"/>
          <w:szCs w:val="24"/>
        </w:rPr>
      </w:pPr>
      <w:r w:rsidRPr="006D7D5E">
        <w:rPr>
          <w:rStyle w:val="s1"/>
          <w:rFonts w:ascii="Times New Roman" w:hAnsi="Times New Roman"/>
          <w:sz w:val="24"/>
          <w:szCs w:val="24"/>
        </w:rPr>
        <w:t>BECOMES</w:t>
      </w:r>
    </w:p>
    <w:p w14:paraId="01507988" w14:textId="77777777" w:rsidR="005C78D7" w:rsidRPr="006D7D5E" w:rsidRDefault="005C78D7">
      <w:pPr>
        <w:pStyle w:val="p2"/>
        <w:rPr>
          <w:rFonts w:ascii="Times New Roman" w:hAnsi="Times New Roman"/>
          <w:sz w:val="24"/>
          <w:szCs w:val="24"/>
        </w:rPr>
      </w:pPr>
    </w:p>
    <w:p w14:paraId="2DCAC4E0" w14:textId="77777777" w:rsidR="00CB0C36" w:rsidRDefault="005C78D7" w:rsidP="00CB0C36">
      <w:pPr>
        <w:pStyle w:val="p1"/>
        <w:ind w:left="1134"/>
        <w:rPr>
          <w:rFonts w:ascii="Times New Roman" w:hAnsi="Times New Roman"/>
          <w:sz w:val="24"/>
          <w:szCs w:val="24"/>
        </w:rPr>
      </w:pPr>
      <w:r w:rsidRPr="006D7D5E">
        <w:rPr>
          <w:rStyle w:val="s1"/>
          <w:rFonts w:ascii="Times New Roman" w:hAnsi="Times New Roman"/>
          <w:sz w:val="24"/>
          <w:szCs w:val="24"/>
        </w:rPr>
        <w:t xml:space="preserve">Online authentication, </w:t>
      </w:r>
      <w:r w:rsidRPr="006D7D5E">
        <w:rPr>
          <w:rStyle w:val="s2"/>
          <w:rFonts w:ascii="Times New Roman" w:hAnsi="Times New Roman"/>
          <w:sz w:val="24"/>
          <w:szCs w:val="24"/>
        </w:rPr>
        <w:t>identification</w:t>
      </w:r>
      <w:r w:rsidRPr="006D7D5E">
        <w:rPr>
          <w:rStyle w:val="s1"/>
          <w:rFonts w:ascii="Times New Roman" w:hAnsi="Times New Roman"/>
          <w:sz w:val="24"/>
          <w:szCs w:val="24"/>
        </w:rPr>
        <w:t xml:space="preserve"> and eligibility solutions can increase security, ease of use and accessibility to public services. They are central to transforming the delivery and efficiency of public services and people’s ability to operate confidently in an increasingly digital economy. It is estimated that widespread use of digital </w:t>
      </w:r>
      <w:r w:rsidRPr="006D7D5E">
        <w:rPr>
          <w:rStyle w:val="s2"/>
          <w:rFonts w:ascii="Times New Roman" w:hAnsi="Times New Roman"/>
          <w:sz w:val="24"/>
          <w:szCs w:val="24"/>
        </w:rPr>
        <w:t>identification</w:t>
      </w:r>
      <w:r w:rsidRPr="006D7D5E">
        <w:rPr>
          <w:rStyle w:val="s1"/>
          <w:rFonts w:ascii="Times New Roman" w:hAnsi="Times New Roman"/>
          <w:sz w:val="24"/>
          <w:szCs w:val="24"/>
        </w:rPr>
        <w:t xml:space="preserve"> products would be worth around £800m per year to the UK economy. Widespread use of digital </w:t>
      </w:r>
      <w:r w:rsidRPr="006D7D5E">
        <w:rPr>
          <w:rStyle w:val="s2"/>
          <w:rFonts w:ascii="Times New Roman" w:hAnsi="Times New Roman"/>
          <w:sz w:val="24"/>
          <w:szCs w:val="24"/>
        </w:rPr>
        <w:t>identification</w:t>
      </w:r>
      <w:r w:rsidRPr="006D7D5E">
        <w:rPr>
          <w:rStyle w:val="s1"/>
          <w:rFonts w:ascii="Times New Roman" w:hAnsi="Times New Roman"/>
          <w:sz w:val="24"/>
          <w:szCs w:val="24"/>
        </w:rPr>
        <w:t xml:space="preserve"> products could also help to reduce the record levels of abuse of personal data and impersonation to commit fraud in the UK, with over 220,000 cases reported in 2019.</w:t>
      </w:r>
    </w:p>
    <w:p w14:paraId="3DB6C0F4" w14:textId="77777777" w:rsidR="00CB0C36" w:rsidRDefault="00CB0C36" w:rsidP="00CB0C36">
      <w:pPr>
        <w:pStyle w:val="p1"/>
        <w:ind w:left="1134"/>
        <w:rPr>
          <w:rFonts w:ascii="Times New Roman" w:hAnsi="Times New Roman"/>
          <w:sz w:val="24"/>
          <w:szCs w:val="24"/>
        </w:rPr>
      </w:pPr>
    </w:p>
    <w:p w14:paraId="53C7B988" w14:textId="56EF8463" w:rsidR="005C78D7" w:rsidRPr="006D7D5E" w:rsidRDefault="005C78D7" w:rsidP="00CB0C36">
      <w:pPr>
        <w:pStyle w:val="p1"/>
        <w:ind w:left="1134"/>
        <w:rPr>
          <w:rFonts w:ascii="Times New Roman" w:hAnsi="Times New Roman"/>
          <w:sz w:val="24"/>
          <w:szCs w:val="24"/>
        </w:rPr>
      </w:pPr>
      <w:r w:rsidRPr="006D7D5E">
        <w:rPr>
          <w:rStyle w:val="s1"/>
          <w:rFonts w:ascii="Times New Roman" w:hAnsi="Times New Roman"/>
          <w:sz w:val="24"/>
          <w:szCs w:val="24"/>
        </w:rPr>
        <w:t xml:space="preserve">The government is committed to realising the benefits of digital </w:t>
      </w:r>
      <w:r w:rsidRPr="006D7D5E">
        <w:rPr>
          <w:rStyle w:val="s2"/>
          <w:rFonts w:ascii="Times New Roman" w:hAnsi="Times New Roman"/>
          <w:sz w:val="24"/>
          <w:szCs w:val="24"/>
        </w:rPr>
        <w:t>identification</w:t>
      </w:r>
      <w:r w:rsidRPr="006D7D5E">
        <w:rPr>
          <w:rStyle w:val="s1"/>
          <w:rFonts w:ascii="Times New Roman" w:hAnsi="Times New Roman"/>
          <w:sz w:val="24"/>
          <w:szCs w:val="24"/>
        </w:rPr>
        <w:t xml:space="preserve">, without creating ID cards. Earlier this year we published a draft of the </w:t>
      </w:r>
      <w:hyperlink r:id="rId10" w:history="1">
        <w:r w:rsidRPr="006D7D5E">
          <w:rPr>
            <w:rStyle w:val="s3"/>
            <w:rFonts w:ascii="Times New Roman" w:hAnsi="Times New Roman"/>
            <w:sz w:val="24"/>
            <w:szCs w:val="24"/>
          </w:rPr>
          <w:t>UK digital identity and attributes trust framework</w:t>
        </w:r>
      </w:hyperlink>
      <w:r w:rsidRPr="006D7D5E">
        <w:rPr>
          <w:rStyle w:val="s1"/>
          <w:rFonts w:ascii="Times New Roman" w:hAnsi="Times New Roman"/>
          <w:sz w:val="24"/>
          <w:szCs w:val="24"/>
        </w:rPr>
        <w:t xml:space="preserve">. This document sets out what rules and standards are needed to protect people’s sensitive </w:t>
      </w:r>
      <w:r w:rsidRPr="006D7D5E">
        <w:rPr>
          <w:rStyle w:val="s2"/>
          <w:rFonts w:ascii="Times New Roman" w:hAnsi="Times New Roman"/>
          <w:sz w:val="24"/>
          <w:szCs w:val="24"/>
        </w:rPr>
        <w:t>personal</w:t>
      </w:r>
      <w:r w:rsidRPr="006D7D5E">
        <w:rPr>
          <w:rStyle w:val="s1"/>
          <w:rFonts w:ascii="Times New Roman" w:hAnsi="Times New Roman"/>
          <w:sz w:val="24"/>
          <w:szCs w:val="24"/>
        </w:rPr>
        <w:t xml:space="preserve"> data when used digitally. We will put in place the necessary framework and tools so that digital </w:t>
      </w:r>
      <w:r w:rsidRPr="006D7D5E">
        <w:rPr>
          <w:rStyle w:val="s2"/>
          <w:rFonts w:ascii="Times New Roman" w:hAnsi="Times New Roman"/>
          <w:sz w:val="24"/>
          <w:szCs w:val="24"/>
        </w:rPr>
        <w:t>identification</w:t>
      </w:r>
      <w:r w:rsidRPr="006D7D5E">
        <w:rPr>
          <w:rStyle w:val="s1"/>
          <w:rFonts w:ascii="Times New Roman" w:hAnsi="Times New Roman"/>
          <w:sz w:val="24"/>
          <w:szCs w:val="24"/>
        </w:rPr>
        <w:t xml:space="preserve"> products enhance privacy, transparency, confidence and inclusion, and that users are able to control their data, in line with the principles published in the </w:t>
      </w:r>
      <w:hyperlink r:id="rId11" w:history="1">
        <w:r w:rsidRPr="006D7D5E">
          <w:rPr>
            <w:rStyle w:val="s3"/>
            <w:rFonts w:ascii="Times New Roman" w:hAnsi="Times New Roman"/>
            <w:sz w:val="24"/>
            <w:szCs w:val="24"/>
          </w:rPr>
          <w:t>2019 Call for Evidence response</w:t>
        </w:r>
      </w:hyperlink>
      <w:r w:rsidRPr="006D7D5E">
        <w:rPr>
          <w:rStyle w:val="s1"/>
          <w:rFonts w:ascii="Times New Roman" w:hAnsi="Times New Roman"/>
          <w:sz w:val="24"/>
          <w:szCs w:val="24"/>
        </w:rPr>
        <w:t xml:space="preserve">. We are also developing and piloting a new ‘One Login for Government’ system that will make it easier for everyone to access government services, with users only having to provide data to prove </w:t>
      </w:r>
      <w:r w:rsidRPr="006D7D5E">
        <w:rPr>
          <w:rStyle w:val="s2"/>
          <w:rFonts w:ascii="Times New Roman" w:hAnsi="Times New Roman"/>
          <w:sz w:val="24"/>
          <w:szCs w:val="24"/>
        </w:rPr>
        <w:t>who they are</w:t>
      </w:r>
      <w:r w:rsidRPr="006D7D5E">
        <w:rPr>
          <w:rStyle w:val="s1"/>
          <w:rFonts w:ascii="Times New Roman" w:hAnsi="Times New Roman"/>
          <w:sz w:val="24"/>
          <w:szCs w:val="24"/>
        </w:rPr>
        <w:t xml:space="preserve"> once, and protecting privacy throughout.</w:t>
      </w:r>
    </w:p>
    <w:p w14:paraId="30256B57" w14:textId="77777777" w:rsidR="005C78D7" w:rsidRPr="006D7D5E" w:rsidRDefault="005C78D7">
      <w:pPr>
        <w:pStyle w:val="p2"/>
        <w:rPr>
          <w:rFonts w:ascii="Times New Roman" w:hAnsi="Times New Roman"/>
          <w:sz w:val="24"/>
          <w:szCs w:val="24"/>
        </w:rPr>
      </w:pPr>
    </w:p>
    <w:p w14:paraId="2693AAFE" w14:textId="5AB39045" w:rsidR="005C78D7" w:rsidRDefault="005C78D7" w:rsidP="00264E94">
      <w:pPr>
        <w:pStyle w:val="p1"/>
        <w:ind w:left="709"/>
        <w:rPr>
          <w:rStyle w:val="s1"/>
          <w:rFonts w:ascii="Times New Roman" w:hAnsi="Times New Roman"/>
          <w:sz w:val="24"/>
          <w:szCs w:val="24"/>
        </w:rPr>
      </w:pPr>
      <w:r w:rsidRPr="006D7D5E">
        <w:rPr>
          <w:rStyle w:val="s1"/>
          <w:rFonts w:ascii="Times New Roman" w:hAnsi="Times New Roman"/>
          <w:sz w:val="24"/>
          <w:szCs w:val="24"/>
        </w:rPr>
        <w:t>The switch, in Kantara’s opinion, does not change the meaning of the paragraph</w:t>
      </w:r>
      <w:r w:rsidR="002D0D38" w:rsidRPr="006D7D5E">
        <w:rPr>
          <w:rStyle w:val="s1"/>
          <w:rFonts w:ascii="Times New Roman" w:hAnsi="Times New Roman"/>
          <w:sz w:val="24"/>
          <w:szCs w:val="24"/>
        </w:rPr>
        <w:t>s</w:t>
      </w:r>
      <w:r w:rsidRPr="006D7D5E">
        <w:rPr>
          <w:rStyle w:val="s1"/>
          <w:rFonts w:ascii="Times New Roman" w:hAnsi="Times New Roman"/>
          <w:sz w:val="24"/>
          <w:szCs w:val="24"/>
        </w:rPr>
        <w:t xml:space="preserve"> but does change the focus from attributes being held to attributes being used.</w:t>
      </w:r>
    </w:p>
    <w:p w14:paraId="5A1AA92A" w14:textId="77777777" w:rsidR="00264E94" w:rsidRDefault="00264E94" w:rsidP="00264E94">
      <w:pPr>
        <w:pStyle w:val="p1"/>
        <w:ind w:left="709"/>
        <w:rPr>
          <w:rStyle w:val="s1"/>
          <w:rFonts w:ascii="Times New Roman" w:hAnsi="Times New Roman"/>
          <w:sz w:val="24"/>
          <w:szCs w:val="24"/>
        </w:rPr>
      </w:pPr>
    </w:p>
    <w:p w14:paraId="50363039" w14:textId="475DD290" w:rsidR="00264E94" w:rsidRPr="006D7D5E" w:rsidRDefault="00264E94" w:rsidP="00264E94">
      <w:pPr>
        <w:pStyle w:val="p1"/>
        <w:numPr>
          <w:ilvl w:val="0"/>
          <w:numId w:val="21"/>
        </w:numPr>
        <w:rPr>
          <w:rStyle w:val="s1"/>
          <w:rFonts w:ascii="Times New Roman" w:hAnsi="Times New Roman"/>
          <w:sz w:val="24"/>
          <w:szCs w:val="24"/>
        </w:rPr>
      </w:pPr>
      <w:r>
        <w:rPr>
          <w:rStyle w:val="s1"/>
          <w:rFonts w:ascii="Times New Roman" w:hAnsi="Times New Roman"/>
          <w:sz w:val="24"/>
          <w:szCs w:val="24"/>
        </w:rPr>
        <w:t>The</w:t>
      </w:r>
      <w:r w:rsidR="000648FB">
        <w:rPr>
          <w:rStyle w:val="s1"/>
          <w:rFonts w:ascii="Times New Roman" w:hAnsi="Times New Roman"/>
          <w:sz w:val="24"/>
          <w:szCs w:val="24"/>
        </w:rPr>
        <w:t xml:space="preserve"> document makes no mention of allowing international </w:t>
      </w:r>
      <w:r w:rsidR="00C95E35">
        <w:rPr>
          <w:rStyle w:val="s1"/>
          <w:rFonts w:ascii="Times New Roman" w:hAnsi="Times New Roman"/>
          <w:sz w:val="24"/>
          <w:szCs w:val="24"/>
        </w:rPr>
        <w:t xml:space="preserve">participants to participate in the UK federation. Kantara recommends that </w:t>
      </w:r>
      <w:r w:rsidR="00653988">
        <w:rPr>
          <w:rStyle w:val="s1"/>
          <w:rFonts w:ascii="Times New Roman" w:hAnsi="Times New Roman"/>
          <w:sz w:val="24"/>
          <w:szCs w:val="24"/>
        </w:rPr>
        <w:t xml:space="preserve">international participation be allowed by organizations </w:t>
      </w:r>
      <w:r w:rsidR="000E3EF2">
        <w:rPr>
          <w:rStyle w:val="s1"/>
          <w:rFonts w:ascii="Times New Roman" w:hAnsi="Times New Roman"/>
          <w:sz w:val="24"/>
          <w:szCs w:val="24"/>
        </w:rPr>
        <w:t xml:space="preserve">that are service providers or as </w:t>
      </w:r>
      <w:r w:rsidR="00E141C5">
        <w:rPr>
          <w:rStyle w:val="s1"/>
          <w:rFonts w:ascii="Times New Roman" w:hAnsi="Times New Roman"/>
          <w:sz w:val="24"/>
          <w:szCs w:val="24"/>
        </w:rPr>
        <w:t xml:space="preserve">perform </w:t>
      </w:r>
      <w:r w:rsidR="00150EBF" w:rsidRPr="006D7D5E">
        <w:rPr>
          <w:rStyle w:val="s1"/>
          <w:rFonts w:ascii="Times New Roman" w:eastAsia="Times New Roman" w:hAnsi="Times New Roman"/>
          <w:sz w:val="24"/>
          <w:szCs w:val="24"/>
        </w:rPr>
        <w:t>eligibility or identity checks</w:t>
      </w:r>
      <w:r w:rsidR="00E141C5">
        <w:rPr>
          <w:rStyle w:val="s1"/>
          <w:rFonts w:ascii="Times New Roman" w:eastAsia="Times New Roman" w:hAnsi="Times New Roman"/>
          <w:sz w:val="24"/>
          <w:szCs w:val="24"/>
        </w:rPr>
        <w:t>. These organizations will need to be certified</w:t>
      </w:r>
      <w:r w:rsidR="00495B06">
        <w:rPr>
          <w:rStyle w:val="s1"/>
          <w:rFonts w:ascii="Times New Roman" w:eastAsia="Times New Roman" w:hAnsi="Times New Roman"/>
          <w:sz w:val="24"/>
          <w:szCs w:val="24"/>
        </w:rPr>
        <w:t xml:space="preserve"> as meeting the requirements established by the UK.</w:t>
      </w:r>
      <w:r w:rsidR="00C75D28">
        <w:rPr>
          <w:rStyle w:val="s1"/>
          <w:rFonts w:ascii="Times New Roman" w:eastAsia="Times New Roman" w:hAnsi="Times New Roman"/>
          <w:sz w:val="24"/>
          <w:szCs w:val="24"/>
        </w:rPr>
        <w:t xml:space="preserve"> The inclusion of international participants </w:t>
      </w:r>
      <w:r w:rsidR="00747D1E">
        <w:rPr>
          <w:rStyle w:val="s1"/>
          <w:rFonts w:ascii="Times New Roman" w:eastAsia="Times New Roman" w:hAnsi="Times New Roman"/>
          <w:sz w:val="24"/>
          <w:szCs w:val="24"/>
        </w:rPr>
        <w:t>could</w:t>
      </w:r>
      <w:r w:rsidR="00C75D28">
        <w:rPr>
          <w:rStyle w:val="s1"/>
          <w:rFonts w:ascii="Times New Roman" w:eastAsia="Times New Roman" w:hAnsi="Times New Roman"/>
          <w:sz w:val="24"/>
          <w:szCs w:val="24"/>
        </w:rPr>
        <w:t xml:space="preserve"> increase competition</w:t>
      </w:r>
      <w:r w:rsidR="00747D1E">
        <w:rPr>
          <w:rStyle w:val="s1"/>
          <w:rFonts w:ascii="Times New Roman" w:eastAsia="Times New Roman" w:hAnsi="Times New Roman"/>
          <w:sz w:val="24"/>
          <w:szCs w:val="24"/>
        </w:rPr>
        <w:t xml:space="preserve"> in the Identification ecosphere.</w:t>
      </w:r>
    </w:p>
    <w:p w14:paraId="0A13A992" w14:textId="77777777" w:rsidR="00C53ADE" w:rsidRPr="006D7D5E" w:rsidRDefault="00C53ADE">
      <w:pPr>
        <w:pStyle w:val="p1"/>
        <w:rPr>
          <w:rStyle w:val="s1"/>
          <w:rFonts w:ascii="Times New Roman" w:hAnsi="Times New Roman"/>
          <w:sz w:val="24"/>
          <w:szCs w:val="24"/>
        </w:rPr>
      </w:pPr>
    </w:p>
    <w:p w14:paraId="109001B4" w14:textId="26EEB312" w:rsidR="003109BE" w:rsidRPr="006D7D5E" w:rsidRDefault="00C53ADE" w:rsidP="00EE768F">
      <w:pPr>
        <w:pStyle w:val="Heading2"/>
        <w:rPr>
          <w:rStyle w:val="s1"/>
          <w:rFonts w:ascii="Times New Roman" w:hAnsi="Times New Roman" w:cs="Times New Roman"/>
          <w:sz w:val="24"/>
          <w:szCs w:val="24"/>
        </w:rPr>
      </w:pPr>
      <w:r w:rsidRPr="006D7D5E">
        <w:rPr>
          <w:rStyle w:val="s1"/>
          <w:rFonts w:ascii="Times New Roman" w:hAnsi="Times New Roman" w:cs="Times New Roman"/>
          <w:sz w:val="24"/>
          <w:szCs w:val="24"/>
        </w:rPr>
        <w:t>Responses to</w:t>
      </w:r>
      <w:r w:rsidR="009F4576">
        <w:rPr>
          <w:rStyle w:val="s1"/>
          <w:rFonts w:ascii="Times New Roman" w:hAnsi="Times New Roman" w:cs="Times New Roman"/>
          <w:sz w:val="24"/>
          <w:szCs w:val="24"/>
        </w:rPr>
        <w:t xml:space="preserve"> Individual </w:t>
      </w:r>
      <w:r w:rsidRPr="006D7D5E">
        <w:rPr>
          <w:rStyle w:val="s1"/>
          <w:rFonts w:ascii="Times New Roman" w:hAnsi="Times New Roman" w:cs="Times New Roman"/>
          <w:sz w:val="24"/>
          <w:szCs w:val="24"/>
        </w:rPr>
        <w:t>Questions</w:t>
      </w:r>
    </w:p>
    <w:p w14:paraId="1AA1085D" w14:textId="1BBF2F8D" w:rsidR="005C78D7" w:rsidRPr="006D7D5E" w:rsidRDefault="005C78D7">
      <w:pPr>
        <w:pStyle w:val="p2"/>
        <w:rPr>
          <w:rFonts w:ascii="Times New Roman" w:hAnsi="Times New Roman"/>
          <w:sz w:val="24"/>
          <w:szCs w:val="24"/>
        </w:rPr>
      </w:pPr>
    </w:p>
    <w:p w14:paraId="2ECA9946" w14:textId="77777777" w:rsidR="005C78D7" w:rsidRPr="006D7D5E" w:rsidRDefault="005C78D7">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Do you agree an existing regulator is best placed to house digital identity governance, or should a new body be created?</w:t>
      </w:r>
    </w:p>
    <w:p w14:paraId="1FED69F4" w14:textId="77777777" w:rsidR="003109BE" w:rsidRPr="006D7D5E" w:rsidRDefault="005C78D7" w:rsidP="005002FC">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Kantara suggests that, for the reasons stated, an existing Pan-Economy regulator should be used.</w:t>
      </w:r>
    </w:p>
    <w:p w14:paraId="5F18B508" w14:textId="6AFA5074" w:rsidR="00481973" w:rsidRPr="006D7D5E" w:rsidRDefault="00481973" w:rsidP="00481973">
      <w:pPr>
        <w:pStyle w:val="p1"/>
        <w:rPr>
          <w:rFonts w:ascii="Times New Roman" w:hAnsi="Times New Roman"/>
          <w:sz w:val="24"/>
          <w:szCs w:val="24"/>
        </w:rPr>
      </w:pPr>
    </w:p>
    <w:p w14:paraId="51E5E1D3" w14:textId="77777777" w:rsidR="005C78D7" w:rsidRPr="006D7D5E" w:rsidRDefault="005C78D7" w:rsidP="00F05BD7">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Which regulator do you think should house digital identity governance?</w:t>
      </w:r>
    </w:p>
    <w:p w14:paraId="7B154765" w14:textId="7523065B" w:rsidR="005C78D7" w:rsidRPr="006D7D5E" w:rsidRDefault="005C78D7" w:rsidP="00481973">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Kantara, as it does not have intimate knowledge of the workings of the UK Government, cannot make a recommendation. As stated in the document, the chosen regulator needs to have</w:t>
      </w:r>
      <w:r w:rsidR="00896929" w:rsidRPr="006D7D5E">
        <w:rPr>
          <w:rStyle w:val="s1"/>
          <w:rFonts w:ascii="Times New Roman" w:hAnsi="Times New Roman"/>
          <w:sz w:val="24"/>
          <w:szCs w:val="24"/>
        </w:rPr>
        <w:t xml:space="preserve"> the ability </w:t>
      </w:r>
      <w:r w:rsidR="00462F07" w:rsidRPr="006D7D5E">
        <w:rPr>
          <w:rStyle w:val="s1"/>
          <w:rFonts w:ascii="Times New Roman" w:hAnsi="Times New Roman"/>
          <w:sz w:val="24"/>
          <w:szCs w:val="24"/>
        </w:rPr>
        <w:t xml:space="preserve">to </w:t>
      </w:r>
      <w:r w:rsidR="0023126A" w:rsidRPr="006D7D5E">
        <w:rPr>
          <w:rStyle w:val="s1"/>
          <w:rFonts w:ascii="Times New Roman" w:hAnsi="Times New Roman"/>
          <w:sz w:val="24"/>
          <w:szCs w:val="24"/>
        </w:rPr>
        <w:t xml:space="preserve">perform </w:t>
      </w:r>
      <w:r w:rsidR="00462F07" w:rsidRPr="006D7D5E">
        <w:rPr>
          <w:rStyle w:val="s1"/>
          <w:rFonts w:ascii="Times New Roman" w:hAnsi="Times New Roman"/>
          <w:sz w:val="24"/>
          <w:szCs w:val="24"/>
        </w:rPr>
        <w:t>the governing functions (i.e., monitoring) as well as setting the rules that need to followed.</w:t>
      </w:r>
    </w:p>
    <w:p w14:paraId="7A60F588" w14:textId="77777777" w:rsidR="00131371" w:rsidRPr="006D7D5E" w:rsidRDefault="00131371" w:rsidP="00481973">
      <w:pPr>
        <w:pStyle w:val="p1"/>
        <w:ind w:left="709"/>
        <w:rPr>
          <w:rFonts w:ascii="Times New Roman" w:hAnsi="Times New Roman"/>
          <w:sz w:val="24"/>
          <w:szCs w:val="24"/>
        </w:rPr>
      </w:pPr>
    </w:p>
    <w:p w14:paraId="74B86EBE" w14:textId="77777777" w:rsidR="005C78D7" w:rsidRPr="006D7D5E" w:rsidRDefault="005C78D7" w:rsidP="00F05BD7">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What is your opinion on the governance functions we have identified as being required: is anything missed or not needed, in your view?</w:t>
      </w:r>
    </w:p>
    <w:p w14:paraId="627D7777" w14:textId="1AFD2221" w:rsidR="005C78D7" w:rsidRPr="006D7D5E" w:rsidRDefault="005C78D7" w:rsidP="00131371">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xml:space="preserve">: </w:t>
      </w:r>
      <w:r w:rsidR="009106AC" w:rsidRPr="006D7D5E">
        <w:rPr>
          <w:rStyle w:val="s1"/>
          <w:rFonts w:ascii="Times New Roman" w:hAnsi="Times New Roman"/>
          <w:sz w:val="24"/>
          <w:szCs w:val="24"/>
        </w:rPr>
        <w:t>No</w:t>
      </w:r>
      <w:r w:rsidRPr="006D7D5E">
        <w:rPr>
          <w:rStyle w:val="s1"/>
          <w:rFonts w:ascii="Times New Roman" w:hAnsi="Times New Roman"/>
          <w:sz w:val="24"/>
          <w:szCs w:val="24"/>
        </w:rPr>
        <w:t xml:space="preserve"> additional functions require</w:t>
      </w:r>
      <w:r w:rsidR="00F52C1D" w:rsidRPr="006D7D5E">
        <w:rPr>
          <w:rStyle w:val="s1"/>
          <w:rFonts w:ascii="Times New Roman" w:hAnsi="Times New Roman"/>
          <w:sz w:val="24"/>
          <w:szCs w:val="24"/>
        </w:rPr>
        <w:t>d</w:t>
      </w:r>
      <w:r w:rsidRPr="006D7D5E">
        <w:rPr>
          <w:rStyle w:val="s1"/>
          <w:rFonts w:ascii="Times New Roman" w:hAnsi="Times New Roman"/>
          <w:sz w:val="24"/>
          <w:szCs w:val="24"/>
        </w:rPr>
        <w:t>.</w:t>
      </w:r>
    </w:p>
    <w:p w14:paraId="025D0798" w14:textId="77777777" w:rsidR="00131371" w:rsidRPr="006D7D5E" w:rsidRDefault="00131371" w:rsidP="00131371">
      <w:pPr>
        <w:pStyle w:val="p1"/>
        <w:ind w:left="709"/>
        <w:rPr>
          <w:rFonts w:ascii="Times New Roman" w:hAnsi="Times New Roman"/>
          <w:sz w:val="24"/>
          <w:szCs w:val="24"/>
        </w:rPr>
      </w:pPr>
    </w:p>
    <w:p w14:paraId="45F91342" w14:textId="77777777" w:rsidR="005C78D7" w:rsidRPr="006D7D5E" w:rsidRDefault="005C78D7" w:rsidP="00F05BD7">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What is your opinion on the governing body owning the trust framework as outlined, and does the identity of the governing body affect your opinion?</w:t>
      </w:r>
    </w:p>
    <w:p w14:paraId="7F6497ED" w14:textId="6C24F54F" w:rsidR="005C78D7" w:rsidRPr="006D7D5E" w:rsidRDefault="005C78D7" w:rsidP="00131371">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Kantara does not oppose the governing body owning the trust framework.</w:t>
      </w:r>
      <w:r w:rsidR="00A917F7" w:rsidRPr="006D7D5E">
        <w:rPr>
          <w:rStyle w:val="apple-converted-space"/>
          <w:rFonts w:ascii="Times New Roman" w:hAnsi="Times New Roman"/>
          <w:sz w:val="24"/>
          <w:szCs w:val="24"/>
        </w:rPr>
        <w:t xml:space="preserve"> </w:t>
      </w:r>
      <w:r w:rsidRPr="006D7D5E">
        <w:rPr>
          <w:rStyle w:val="s1"/>
          <w:rFonts w:ascii="Times New Roman" w:hAnsi="Times New Roman"/>
          <w:sz w:val="24"/>
          <w:szCs w:val="24"/>
        </w:rPr>
        <w:t xml:space="preserve">However, Kantara believes that </w:t>
      </w:r>
      <w:r w:rsidR="00F52C1D" w:rsidRPr="006D7D5E">
        <w:rPr>
          <w:rStyle w:val="s1"/>
          <w:rFonts w:ascii="Times New Roman" w:hAnsi="Times New Roman"/>
          <w:sz w:val="24"/>
          <w:szCs w:val="24"/>
        </w:rPr>
        <w:t>certification</w:t>
      </w:r>
      <w:r w:rsidR="00A917F7" w:rsidRPr="006D7D5E">
        <w:rPr>
          <w:rStyle w:val="s1"/>
          <w:rFonts w:ascii="Times New Roman" w:hAnsi="Times New Roman"/>
          <w:sz w:val="24"/>
          <w:szCs w:val="24"/>
        </w:rPr>
        <w:t xml:space="preserve"> </w:t>
      </w:r>
      <w:r w:rsidRPr="006D7D5E">
        <w:rPr>
          <w:rStyle w:val="s1"/>
          <w:rFonts w:ascii="Times New Roman" w:hAnsi="Times New Roman"/>
          <w:sz w:val="24"/>
          <w:szCs w:val="24"/>
        </w:rPr>
        <w:t xml:space="preserve">that </w:t>
      </w:r>
      <w:r w:rsidR="00F52C1D" w:rsidRPr="006D7D5E">
        <w:rPr>
          <w:rStyle w:val="s1"/>
          <w:rFonts w:ascii="Times New Roman" w:hAnsi="Times New Roman"/>
          <w:sz w:val="24"/>
          <w:szCs w:val="24"/>
        </w:rPr>
        <w:t xml:space="preserve">participating </w:t>
      </w:r>
      <w:r w:rsidRPr="006D7D5E">
        <w:rPr>
          <w:rStyle w:val="s1"/>
          <w:rFonts w:ascii="Times New Roman" w:hAnsi="Times New Roman"/>
          <w:sz w:val="24"/>
          <w:szCs w:val="24"/>
        </w:rPr>
        <w:t xml:space="preserve">organizations comply with the </w:t>
      </w:r>
      <w:r w:rsidR="00F52C1D" w:rsidRPr="006D7D5E">
        <w:rPr>
          <w:rStyle w:val="s1"/>
          <w:rFonts w:ascii="Times New Roman" w:hAnsi="Times New Roman"/>
          <w:sz w:val="24"/>
          <w:szCs w:val="24"/>
        </w:rPr>
        <w:t xml:space="preserve">commitments required by the </w:t>
      </w:r>
      <w:r w:rsidRPr="006D7D5E">
        <w:rPr>
          <w:rStyle w:val="s1"/>
          <w:rFonts w:ascii="Times New Roman" w:hAnsi="Times New Roman"/>
          <w:sz w:val="24"/>
          <w:szCs w:val="24"/>
        </w:rPr>
        <w:t xml:space="preserve">trust framework should </w:t>
      </w:r>
      <w:r w:rsidR="00F52C1D" w:rsidRPr="006D7D5E">
        <w:rPr>
          <w:rStyle w:val="s1"/>
          <w:rFonts w:ascii="Times New Roman" w:hAnsi="Times New Roman"/>
          <w:sz w:val="24"/>
          <w:szCs w:val="24"/>
        </w:rPr>
        <w:t>be an independent function</w:t>
      </w:r>
      <w:r w:rsidRPr="006D7D5E">
        <w:rPr>
          <w:rStyle w:val="s1"/>
          <w:rFonts w:ascii="Times New Roman" w:hAnsi="Times New Roman"/>
          <w:sz w:val="24"/>
          <w:szCs w:val="24"/>
        </w:rPr>
        <w:t>.</w:t>
      </w:r>
    </w:p>
    <w:p w14:paraId="512564D8" w14:textId="77777777" w:rsidR="00131371" w:rsidRPr="006D7D5E" w:rsidRDefault="00131371">
      <w:pPr>
        <w:pStyle w:val="p1"/>
        <w:rPr>
          <w:rFonts w:ascii="Times New Roman" w:hAnsi="Times New Roman"/>
          <w:sz w:val="24"/>
          <w:szCs w:val="24"/>
        </w:rPr>
      </w:pPr>
    </w:p>
    <w:p w14:paraId="229A9527" w14:textId="77777777" w:rsidR="005C78D7" w:rsidRPr="006D7D5E" w:rsidRDefault="005C78D7" w:rsidP="001D052E">
      <w:pPr>
        <w:pStyle w:val="li1"/>
        <w:numPr>
          <w:ilvl w:val="0"/>
          <w:numId w:val="1"/>
        </w:numPr>
        <w:rPr>
          <w:rStyle w:val="s1"/>
          <w:rFonts w:ascii="Times New Roman" w:eastAsia="Times New Roman" w:hAnsi="Times New Roman"/>
          <w:sz w:val="24"/>
          <w:szCs w:val="24"/>
        </w:rPr>
      </w:pPr>
      <w:r w:rsidRPr="006D7D5E">
        <w:rPr>
          <w:rStyle w:val="s1"/>
          <w:rFonts w:ascii="Times New Roman" w:eastAsia="Times New Roman" w:hAnsi="Times New Roman"/>
          <w:sz w:val="24"/>
          <w:szCs w:val="24"/>
        </w:rPr>
        <w:t>Is there any other guidance that you propose could be incorporated into the trust framework?</w:t>
      </w:r>
    </w:p>
    <w:p w14:paraId="1F58B51D" w14:textId="77777777" w:rsidR="0035523A" w:rsidRPr="006D7D5E" w:rsidRDefault="0035523A" w:rsidP="0035523A">
      <w:pPr>
        <w:pStyle w:val="li1"/>
        <w:ind w:left="720"/>
        <w:rPr>
          <w:rFonts w:ascii="Times New Roman" w:eastAsia="Times New Roman" w:hAnsi="Times New Roman"/>
          <w:sz w:val="24"/>
          <w:szCs w:val="24"/>
        </w:rPr>
      </w:pPr>
    </w:p>
    <w:p w14:paraId="2928D900"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How do we fairly represent the interests of civil society and public and private sectors when refreshing trust framework requirements?</w:t>
      </w:r>
    </w:p>
    <w:p w14:paraId="1F19A912" w14:textId="166F70AD" w:rsidR="005C78D7" w:rsidRPr="006D7D5E" w:rsidRDefault="005C78D7" w:rsidP="0035523A">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The approach identified in the document appears to</w:t>
      </w:r>
      <w:r w:rsidR="00615274" w:rsidRPr="006D7D5E">
        <w:rPr>
          <w:rStyle w:val="s1"/>
          <w:rFonts w:ascii="Times New Roman" w:hAnsi="Times New Roman"/>
          <w:sz w:val="24"/>
          <w:szCs w:val="24"/>
        </w:rPr>
        <w:t xml:space="preserve"> be</w:t>
      </w:r>
      <w:r w:rsidRPr="006D7D5E">
        <w:rPr>
          <w:rStyle w:val="s1"/>
          <w:rFonts w:ascii="Times New Roman" w:hAnsi="Times New Roman"/>
          <w:sz w:val="24"/>
          <w:szCs w:val="24"/>
        </w:rPr>
        <w:t xml:space="preserve"> adequate.</w:t>
      </w:r>
    </w:p>
    <w:p w14:paraId="3677E9BC" w14:textId="77777777" w:rsidR="0035523A" w:rsidRPr="006D7D5E" w:rsidRDefault="0035523A" w:rsidP="0035523A">
      <w:pPr>
        <w:pStyle w:val="p1"/>
        <w:ind w:left="709"/>
        <w:rPr>
          <w:rFonts w:ascii="Times New Roman" w:hAnsi="Times New Roman"/>
          <w:sz w:val="24"/>
          <w:szCs w:val="24"/>
        </w:rPr>
      </w:pPr>
    </w:p>
    <w:p w14:paraId="314EB51A" w14:textId="77777777" w:rsidR="005C78D7" w:rsidRPr="006D7D5E" w:rsidRDefault="005C78D7" w:rsidP="001D052E">
      <w:pPr>
        <w:pStyle w:val="li1"/>
        <w:numPr>
          <w:ilvl w:val="0"/>
          <w:numId w:val="1"/>
        </w:numPr>
        <w:rPr>
          <w:rStyle w:val="s1"/>
          <w:rFonts w:ascii="Times New Roman" w:eastAsia="Times New Roman" w:hAnsi="Times New Roman"/>
          <w:sz w:val="24"/>
          <w:szCs w:val="24"/>
        </w:rPr>
      </w:pPr>
      <w:r w:rsidRPr="006D7D5E">
        <w:rPr>
          <w:rStyle w:val="s1"/>
          <w:rFonts w:ascii="Times New Roman" w:eastAsia="Times New Roman" w:hAnsi="Times New Roman"/>
          <w:sz w:val="24"/>
          <w:szCs w:val="24"/>
        </w:rPr>
        <w:t>Are there any other advisory groups that should be set up in addition to those suggested?</w:t>
      </w:r>
    </w:p>
    <w:p w14:paraId="33867E30" w14:textId="77777777" w:rsidR="0035523A" w:rsidRPr="006D7D5E" w:rsidRDefault="0035523A" w:rsidP="0035523A">
      <w:pPr>
        <w:pStyle w:val="li1"/>
        <w:ind w:left="720"/>
        <w:rPr>
          <w:rFonts w:ascii="Times New Roman" w:eastAsia="Times New Roman" w:hAnsi="Times New Roman"/>
          <w:sz w:val="24"/>
          <w:szCs w:val="24"/>
        </w:rPr>
      </w:pPr>
    </w:p>
    <w:p w14:paraId="49A3C5D0"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How should the government ensure that any fees do not become a barrier to entry for organisations while maintaining value for money for the taxpayer?</w:t>
      </w:r>
    </w:p>
    <w:p w14:paraId="2AE89641" w14:textId="32D2664C" w:rsidR="005C78D7" w:rsidRPr="006D7D5E" w:rsidRDefault="005C78D7" w:rsidP="0035523A">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The question of fees, as the document identifies, is delicate.</w:t>
      </w:r>
      <w:r w:rsidR="00A917F7" w:rsidRPr="006D7D5E">
        <w:rPr>
          <w:rStyle w:val="apple-converted-space"/>
          <w:rFonts w:ascii="Times New Roman" w:hAnsi="Times New Roman"/>
          <w:sz w:val="24"/>
          <w:szCs w:val="24"/>
        </w:rPr>
        <w:t xml:space="preserve"> </w:t>
      </w:r>
      <w:r w:rsidRPr="006D7D5E">
        <w:rPr>
          <w:rStyle w:val="s1"/>
          <w:rFonts w:ascii="Times New Roman" w:hAnsi="Times New Roman"/>
          <w:sz w:val="24"/>
          <w:szCs w:val="24"/>
        </w:rPr>
        <w:t xml:space="preserve">The cost to an organization to use digital identification should not exceed the savings the organization will receive from using </w:t>
      </w:r>
      <w:r w:rsidR="00615274" w:rsidRPr="006D7D5E">
        <w:rPr>
          <w:rStyle w:val="s1"/>
          <w:rFonts w:ascii="Times New Roman" w:hAnsi="Times New Roman"/>
          <w:sz w:val="24"/>
          <w:szCs w:val="24"/>
        </w:rPr>
        <w:t>it</w:t>
      </w:r>
      <w:r w:rsidRPr="006D7D5E">
        <w:rPr>
          <w:rStyle w:val="s1"/>
          <w:rFonts w:ascii="Times New Roman" w:hAnsi="Times New Roman"/>
          <w:sz w:val="24"/>
          <w:szCs w:val="24"/>
        </w:rPr>
        <w:t>.</w:t>
      </w:r>
      <w:r w:rsidR="00A917F7" w:rsidRPr="006D7D5E">
        <w:rPr>
          <w:rStyle w:val="apple-converted-space"/>
          <w:rFonts w:ascii="Times New Roman" w:hAnsi="Times New Roman"/>
          <w:sz w:val="24"/>
          <w:szCs w:val="24"/>
        </w:rPr>
        <w:t xml:space="preserve"> </w:t>
      </w:r>
      <w:r w:rsidRPr="006D7D5E">
        <w:rPr>
          <w:rStyle w:val="s1"/>
          <w:rFonts w:ascii="Times New Roman" w:hAnsi="Times New Roman"/>
          <w:sz w:val="24"/>
          <w:szCs w:val="24"/>
        </w:rPr>
        <w:t>This approach will put the onus on the organization to understand how it will use digital identification and what savings it will realize from its use (i.e., will the organization realize savings over the use of document-based identification).</w:t>
      </w:r>
      <w:r w:rsidR="00A917F7" w:rsidRPr="006D7D5E">
        <w:rPr>
          <w:rStyle w:val="apple-converted-space"/>
          <w:rFonts w:ascii="Times New Roman" w:hAnsi="Times New Roman"/>
          <w:sz w:val="24"/>
          <w:szCs w:val="24"/>
        </w:rPr>
        <w:t xml:space="preserve"> </w:t>
      </w:r>
      <w:r w:rsidRPr="006D7D5E">
        <w:rPr>
          <w:rStyle w:val="s1"/>
          <w:rFonts w:ascii="Times New Roman" w:hAnsi="Times New Roman"/>
          <w:sz w:val="24"/>
          <w:szCs w:val="24"/>
        </w:rPr>
        <w:t>The organization will also need to understand its customer base’s desire to use digital, rather than document-based, identification.</w:t>
      </w:r>
      <w:r w:rsidR="00A917F7" w:rsidRPr="006D7D5E">
        <w:rPr>
          <w:rStyle w:val="s1"/>
          <w:rFonts w:ascii="Times New Roman" w:hAnsi="Times New Roman"/>
          <w:sz w:val="24"/>
          <w:szCs w:val="24"/>
        </w:rPr>
        <w:t xml:space="preserve"> </w:t>
      </w:r>
      <w:r w:rsidR="00170AEB" w:rsidRPr="006D7D5E">
        <w:rPr>
          <w:rStyle w:val="s1"/>
          <w:rFonts w:ascii="Times New Roman" w:hAnsi="Times New Roman"/>
          <w:sz w:val="24"/>
          <w:szCs w:val="24"/>
        </w:rPr>
        <w:t xml:space="preserve">Kantara suggests that </w:t>
      </w:r>
      <w:r w:rsidR="002A431E" w:rsidRPr="006D7D5E">
        <w:rPr>
          <w:rStyle w:val="s1"/>
          <w:rFonts w:ascii="Times New Roman" w:hAnsi="Times New Roman"/>
          <w:sz w:val="24"/>
          <w:szCs w:val="24"/>
        </w:rPr>
        <w:t>the governing body provide</w:t>
      </w:r>
      <w:r w:rsidR="001225DD" w:rsidRPr="006D7D5E">
        <w:rPr>
          <w:rStyle w:val="s1"/>
          <w:rFonts w:ascii="Times New Roman" w:hAnsi="Times New Roman"/>
          <w:sz w:val="24"/>
          <w:szCs w:val="24"/>
        </w:rPr>
        <w:t xml:space="preserve"> a business-case </w:t>
      </w:r>
      <w:r w:rsidR="0087773F" w:rsidRPr="006D7D5E">
        <w:rPr>
          <w:rStyle w:val="s1"/>
          <w:rFonts w:ascii="Times New Roman" w:hAnsi="Times New Roman"/>
          <w:sz w:val="24"/>
          <w:szCs w:val="24"/>
        </w:rPr>
        <w:t xml:space="preserve">template to help organizations </w:t>
      </w:r>
      <w:r w:rsidR="00800628" w:rsidRPr="006D7D5E">
        <w:rPr>
          <w:rStyle w:val="s1"/>
          <w:rFonts w:ascii="Times New Roman" w:hAnsi="Times New Roman"/>
          <w:sz w:val="24"/>
          <w:szCs w:val="24"/>
        </w:rPr>
        <w:t xml:space="preserve">make their </w:t>
      </w:r>
      <w:r w:rsidR="00C400C1" w:rsidRPr="006D7D5E">
        <w:rPr>
          <w:rStyle w:val="s1"/>
          <w:rFonts w:ascii="Times New Roman" w:hAnsi="Times New Roman"/>
          <w:sz w:val="24"/>
          <w:szCs w:val="24"/>
        </w:rPr>
        <w:t>decision.</w:t>
      </w:r>
      <w:r w:rsidR="00A917F7" w:rsidRPr="006D7D5E">
        <w:rPr>
          <w:rStyle w:val="apple-converted-space"/>
          <w:rFonts w:ascii="Times New Roman" w:hAnsi="Times New Roman"/>
          <w:sz w:val="24"/>
          <w:szCs w:val="24"/>
        </w:rPr>
        <w:t xml:space="preserve"> </w:t>
      </w:r>
      <w:r w:rsidRPr="006D7D5E">
        <w:rPr>
          <w:rStyle w:val="s1"/>
          <w:rFonts w:ascii="Times New Roman" w:hAnsi="Times New Roman"/>
          <w:sz w:val="24"/>
          <w:szCs w:val="24"/>
        </w:rPr>
        <w:t>Kantara recommends that</w:t>
      </w:r>
      <w:r w:rsidR="00690EEA" w:rsidRPr="006D7D5E">
        <w:rPr>
          <w:rStyle w:val="s1"/>
          <w:rFonts w:ascii="Times New Roman" w:hAnsi="Times New Roman"/>
          <w:sz w:val="24"/>
          <w:szCs w:val="24"/>
        </w:rPr>
        <w:t xml:space="preserve"> the fees</w:t>
      </w:r>
      <w:r w:rsidR="00A07397" w:rsidRPr="006D7D5E">
        <w:rPr>
          <w:rStyle w:val="s1"/>
          <w:rFonts w:ascii="Times New Roman" w:hAnsi="Times New Roman"/>
          <w:sz w:val="24"/>
          <w:szCs w:val="24"/>
        </w:rPr>
        <w:t xml:space="preserve"> an</w:t>
      </w:r>
      <w:r w:rsidRPr="006D7D5E">
        <w:rPr>
          <w:rStyle w:val="s1"/>
          <w:rFonts w:ascii="Times New Roman" w:hAnsi="Times New Roman"/>
          <w:sz w:val="24"/>
          <w:szCs w:val="24"/>
        </w:rPr>
        <w:t xml:space="preserve"> organization pay</w:t>
      </w:r>
      <w:r w:rsidR="00A07397" w:rsidRPr="006D7D5E">
        <w:rPr>
          <w:rStyle w:val="s1"/>
          <w:rFonts w:ascii="Times New Roman" w:hAnsi="Times New Roman"/>
          <w:sz w:val="24"/>
          <w:szCs w:val="24"/>
        </w:rPr>
        <w:t>s</w:t>
      </w:r>
      <w:r w:rsidR="008349E6" w:rsidRPr="006D7D5E">
        <w:rPr>
          <w:rStyle w:val="s1"/>
          <w:rFonts w:ascii="Times New Roman" w:hAnsi="Times New Roman"/>
          <w:sz w:val="24"/>
          <w:szCs w:val="24"/>
        </w:rPr>
        <w:t xml:space="preserve"> </w:t>
      </w:r>
      <w:r w:rsidR="00483916" w:rsidRPr="006D7D5E">
        <w:rPr>
          <w:rStyle w:val="s1"/>
          <w:rFonts w:ascii="Times New Roman" w:hAnsi="Times New Roman"/>
          <w:sz w:val="24"/>
          <w:szCs w:val="24"/>
        </w:rPr>
        <w:t>cover the cost</w:t>
      </w:r>
      <w:r w:rsidR="00EA410F" w:rsidRPr="006D7D5E">
        <w:rPr>
          <w:rStyle w:val="s1"/>
          <w:rFonts w:ascii="Times New Roman" w:hAnsi="Times New Roman"/>
          <w:sz w:val="24"/>
          <w:szCs w:val="24"/>
        </w:rPr>
        <w:t xml:space="preserve"> of operating </w:t>
      </w:r>
      <w:r w:rsidR="00FB69BD" w:rsidRPr="006D7D5E">
        <w:rPr>
          <w:rStyle w:val="s1"/>
          <w:rFonts w:ascii="Times New Roman" w:hAnsi="Times New Roman"/>
          <w:sz w:val="24"/>
          <w:szCs w:val="24"/>
        </w:rPr>
        <w:t xml:space="preserve">the </w:t>
      </w:r>
      <w:r w:rsidR="00403B07" w:rsidRPr="006D7D5E">
        <w:rPr>
          <w:rStyle w:val="s1"/>
          <w:rFonts w:ascii="Times New Roman" w:hAnsi="Times New Roman"/>
          <w:sz w:val="24"/>
          <w:szCs w:val="24"/>
        </w:rPr>
        <w:t xml:space="preserve">service. </w:t>
      </w:r>
      <w:r w:rsidR="00691E01" w:rsidRPr="006D7D5E">
        <w:rPr>
          <w:rStyle w:val="s1"/>
          <w:rFonts w:ascii="Times New Roman" w:hAnsi="Times New Roman"/>
          <w:sz w:val="24"/>
          <w:szCs w:val="24"/>
        </w:rPr>
        <w:t xml:space="preserve">However, the fees an organization pays should </w:t>
      </w:r>
      <w:r w:rsidR="00B7183F" w:rsidRPr="006D7D5E">
        <w:rPr>
          <w:rStyle w:val="s1"/>
          <w:rFonts w:ascii="Times New Roman" w:hAnsi="Times New Roman"/>
          <w:sz w:val="24"/>
          <w:szCs w:val="24"/>
        </w:rPr>
        <w:t xml:space="preserve">be seen as </w:t>
      </w:r>
      <w:r w:rsidR="00C82C4B" w:rsidRPr="006D7D5E">
        <w:rPr>
          <w:rStyle w:val="s1"/>
          <w:rFonts w:ascii="Times New Roman" w:hAnsi="Times New Roman"/>
          <w:sz w:val="24"/>
          <w:szCs w:val="24"/>
        </w:rPr>
        <w:t xml:space="preserve">providing the organization with something tangible rather than just an </w:t>
      </w:r>
      <w:r w:rsidR="0093248E" w:rsidRPr="006D7D5E">
        <w:rPr>
          <w:rStyle w:val="s1"/>
          <w:rFonts w:ascii="Times New Roman" w:hAnsi="Times New Roman"/>
          <w:sz w:val="24"/>
          <w:szCs w:val="24"/>
        </w:rPr>
        <w:t xml:space="preserve">annual subscription fee. For example, </w:t>
      </w:r>
      <w:r w:rsidRPr="006D7D5E">
        <w:rPr>
          <w:rStyle w:val="s1"/>
          <w:rFonts w:ascii="Times New Roman" w:hAnsi="Times New Roman"/>
          <w:sz w:val="24"/>
          <w:szCs w:val="24"/>
        </w:rPr>
        <w:t xml:space="preserve">a fee to be certified and </w:t>
      </w:r>
      <w:proofErr w:type="spellStart"/>
      <w:r w:rsidRPr="006D7D5E">
        <w:rPr>
          <w:rStyle w:val="s1"/>
          <w:rFonts w:ascii="Times New Roman" w:hAnsi="Times New Roman"/>
          <w:sz w:val="24"/>
          <w:szCs w:val="24"/>
        </w:rPr>
        <w:t>recertified</w:t>
      </w:r>
      <w:proofErr w:type="spellEnd"/>
      <w:r w:rsidRPr="006D7D5E">
        <w:rPr>
          <w:rStyle w:val="s1"/>
          <w:rFonts w:ascii="Times New Roman" w:hAnsi="Times New Roman"/>
          <w:sz w:val="24"/>
          <w:szCs w:val="24"/>
        </w:rPr>
        <w:t xml:space="preserve"> on a periodic basis.</w:t>
      </w:r>
    </w:p>
    <w:p w14:paraId="37D8FF59" w14:textId="77777777" w:rsidR="0035523A" w:rsidRPr="006D7D5E" w:rsidRDefault="0035523A" w:rsidP="0035523A">
      <w:pPr>
        <w:pStyle w:val="p1"/>
        <w:ind w:left="709"/>
        <w:rPr>
          <w:rFonts w:ascii="Times New Roman" w:hAnsi="Times New Roman"/>
          <w:sz w:val="24"/>
          <w:szCs w:val="24"/>
        </w:rPr>
      </w:pPr>
    </w:p>
    <w:p w14:paraId="1AC8DAF7"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Do you agree with this two-layered approach to oversight where oversight is provided by the governing body and scheme owners?</w:t>
      </w:r>
    </w:p>
    <w:p w14:paraId="26850335" w14:textId="77777777" w:rsidR="005C78D7" w:rsidRPr="006D7D5E" w:rsidRDefault="005C78D7" w:rsidP="0035523A">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Yes.</w:t>
      </w:r>
    </w:p>
    <w:p w14:paraId="57D8DB0C" w14:textId="77777777" w:rsidR="0035523A" w:rsidRPr="006D7D5E" w:rsidRDefault="0035523A" w:rsidP="0035523A">
      <w:pPr>
        <w:pStyle w:val="p1"/>
        <w:ind w:left="709"/>
        <w:rPr>
          <w:rFonts w:ascii="Times New Roman" w:hAnsi="Times New Roman"/>
          <w:sz w:val="24"/>
          <w:szCs w:val="24"/>
        </w:rPr>
      </w:pPr>
    </w:p>
    <w:p w14:paraId="3558508C"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Do you agree the governing body should be an escalation point for complaints which cannot be resolved at organisational or scheme level?</w:t>
      </w:r>
    </w:p>
    <w:p w14:paraId="1816E7FF" w14:textId="385404BD" w:rsidR="005C78D7" w:rsidRPr="006D7D5E" w:rsidRDefault="005C78D7" w:rsidP="0035523A">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xml:space="preserve">: Yes. However, Kantara recommends an independent Ombudsman role </w:t>
      </w:r>
      <w:r w:rsidR="00B81C33" w:rsidRPr="006D7D5E">
        <w:rPr>
          <w:rStyle w:val="s1"/>
          <w:rFonts w:ascii="Times New Roman" w:hAnsi="Times New Roman"/>
          <w:sz w:val="24"/>
          <w:szCs w:val="24"/>
        </w:rPr>
        <w:t xml:space="preserve">or other low-cost dispute resolution mechanism </w:t>
      </w:r>
      <w:r w:rsidRPr="006D7D5E">
        <w:rPr>
          <w:rStyle w:val="s1"/>
          <w:rFonts w:ascii="Times New Roman" w:hAnsi="Times New Roman"/>
          <w:sz w:val="24"/>
          <w:szCs w:val="24"/>
        </w:rPr>
        <w:t xml:space="preserve">be </w:t>
      </w:r>
      <w:r w:rsidR="00B81C33" w:rsidRPr="006D7D5E">
        <w:rPr>
          <w:rStyle w:val="s1"/>
          <w:rFonts w:ascii="Times New Roman" w:hAnsi="Times New Roman"/>
          <w:sz w:val="24"/>
          <w:szCs w:val="24"/>
        </w:rPr>
        <w:t>specified in the Framework agreement to</w:t>
      </w:r>
      <w:r w:rsidR="00A917F7" w:rsidRPr="006D7D5E">
        <w:rPr>
          <w:rStyle w:val="s1"/>
          <w:rFonts w:ascii="Times New Roman" w:hAnsi="Times New Roman"/>
          <w:sz w:val="24"/>
          <w:szCs w:val="24"/>
        </w:rPr>
        <w:t xml:space="preserve"> </w:t>
      </w:r>
      <w:r w:rsidRPr="006D7D5E">
        <w:rPr>
          <w:rStyle w:val="s1"/>
          <w:rFonts w:ascii="Times New Roman" w:hAnsi="Times New Roman"/>
          <w:sz w:val="24"/>
          <w:szCs w:val="24"/>
        </w:rPr>
        <w:t xml:space="preserve">handle complaints </w:t>
      </w:r>
      <w:r w:rsidR="00B81C33" w:rsidRPr="006D7D5E">
        <w:rPr>
          <w:rStyle w:val="s1"/>
          <w:rFonts w:ascii="Times New Roman" w:hAnsi="Times New Roman"/>
          <w:sz w:val="24"/>
          <w:szCs w:val="24"/>
        </w:rPr>
        <w:t>not directly against the policies and rules</w:t>
      </w:r>
      <w:r w:rsidR="00A917F7" w:rsidRPr="006D7D5E">
        <w:rPr>
          <w:rStyle w:val="s1"/>
          <w:rFonts w:ascii="Times New Roman" w:hAnsi="Times New Roman"/>
          <w:sz w:val="24"/>
          <w:szCs w:val="24"/>
        </w:rPr>
        <w:t xml:space="preserve"> </w:t>
      </w:r>
      <w:r w:rsidR="00B81C33" w:rsidRPr="006D7D5E">
        <w:rPr>
          <w:rStyle w:val="s1"/>
          <w:rFonts w:ascii="Times New Roman" w:hAnsi="Times New Roman"/>
          <w:sz w:val="24"/>
          <w:szCs w:val="24"/>
        </w:rPr>
        <w:t>of the</w:t>
      </w:r>
      <w:r w:rsidRPr="006D7D5E">
        <w:rPr>
          <w:rStyle w:val="s1"/>
          <w:rFonts w:ascii="Times New Roman" w:hAnsi="Times New Roman"/>
          <w:sz w:val="24"/>
          <w:szCs w:val="24"/>
        </w:rPr>
        <w:t xml:space="preserve"> governing body.</w:t>
      </w:r>
    </w:p>
    <w:p w14:paraId="41CEF302" w14:textId="77777777" w:rsidR="0035523A" w:rsidRPr="006D7D5E" w:rsidRDefault="0035523A" w:rsidP="0035523A">
      <w:pPr>
        <w:pStyle w:val="p1"/>
        <w:ind w:left="709"/>
        <w:rPr>
          <w:rFonts w:ascii="Times New Roman" w:hAnsi="Times New Roman"/>
          <w:sz w:val="24"/>
          <w:szCs w:val="24"/>
        </w:rPr>
      </w:pPr>
    </w:p>
    <w:p w14:paraId="3B4D779B"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Do you think there needs to be additional redress routes for consumers using products under the trust framework?</w:t>
      </w:r>
    </w:p>
    <w:p w14:paraId="25F25405" w14:textId="7D4361DA" w:rsidR="005C78D7" w:rsidRPr="006D7D5E" w:rsidRDefault="005C78D7" w:rsidP="0035523A">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Yes. However, the additional redress routes should be available to organizations as well as consumers.</w:t>
      </w:r>
    </w:p>
    <w:p w14:paraId="5C8E0E12" w14:textId="77777777" w:rsidR="0035523A" w:rsidRPr="006D7D5E" w:rsidRDefault="0035523A" w:rsidP="0035523A">
      <w:pPr>
        <w:pStyle w:val="p1"/>
        <w:ind w:left="709"/>
        <w:rPr>
          <w:rFonts w:ascii="Times New Roman" w:hAnsi="Times New Roman"/>
          <w:sz w:val="24"/>
          <w:szCs w:val="24"/>
        </w:rPr>
      </w:pPr>
    </w:p>
    <w:p w14:paraId="50BEA29A"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Do you see any challenges to this approach of signposting to existing redress pathways?</w:t>
      </w:r>
    </w:p>
    <w:p w14:paraId="3C70D486" w14:textId="77777777" w:rsidR="005C78D7" w:rsidRPr="006D7D5E" w:rsidRDefault="005C78D7" w:rsidP="0035523A">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No. However, memoranda of understanding will need to ensure that the identification needs of organizations and consumers are considered in existing redress pathways.</w:t>
      </w:r>
    </w:p>
    <w:p w14:paraId="4F95E5B5" w14:textId="77777777" w:rsidR="0035523A" w:rsidRPr="006D7D5E" w:rsidRDefault="0035523A" w:rsidP="0035523A">
      <w:pPr>
        <w:pStyle w:val="p1"/>
        <w:ind w:left="709"/>
        <w:rPr>
          <w:rFonts w:ascii="Times New Roman" w:hAnsi="Times New Roman"/>
          <w:sz w:val="24"/>
          <w:szCs w:val="24"/>
        </w:rPr>
      </w:pPr>
    </w:p>
    <w:p w14:paraId="449A201A" w14:textId="77777777" w:rsidR="005C78D7" w:rsidRPr="006D7D5E" w:rsidRDefault="005C78D7" w:rsidP="001D052E">
      <w:pPr>
        <w:pStyle w:val="li1"/>
        <w:numPr>
          <w:ilvl w:val="0"/>
          <w:numId w:val="1"/>
        </w:numPr>
        <w:rPr>
          <w:rStyle w:val="s1"/>
          <w:rFonts w:ascii="Times New Roman" w:eastAsia="Times New Roman" w:hAnsi="Times New Roman"/>
          <w:sz w:val="24"/>
          <w:szCs w:val="24"/>
        </w:rPr>
      </w:pPr>
      <w:r w:rsidRPr="006D7D5E">
        <w:rPr>
          <w:rStyle w:val="s1"/>
          <w:rFonts w:ascii="Times New Roman" w:eastAsia="Times New Roman" w:hAnsi="Times New Roman"/>
          <w:sz w:val="24"/>
          <w:szCs w:val="24"/>
        </w:rPr>
        <w:t>How should we enhance the ‘right to rectification’ for trust framework products and services?</w:t>
      </w:r>
    </w:p>
    <w:p w14:paraId="67CE6CFE" w14:textId="77777777" w:rsidR="005B7C12" w:rsidRPr="006D7D5E" w:rsidRDefault="005B7C12" w:rsidP="005B7C12">
      <w:pPr>
        <w:pStyle w:val="li1"/>
        <w:ind w:left="720"/>
        <w:rPr>
          <w:rFonts w:ascii="Times New Roman" w:eastAsia="Times New Roman" w:hAnsi="Times New Roman"/>
          <w:sz w:val="24"/>
          <w:szCs w:val="24"/>
        </w:rPr>
      </w:pPr>
    </w:p>
    <w:p w14:paraId="75384D86"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Should the governing body be granted any of the following additional enforcement powers where there is non-compliance to trust framework requirements?</w:t>
      </w:r>
    </w:p>
    <w:p w14:paraId="0C02F42F" w14:textId="77777777" w:rsidR="005C78D7" w:rsidRPr="006D7D5E" w:rsidRDefault="005C78D7" w:rsidP="005B7C12">
      <w:pPr>
        <w:pStyle w:val="li1"/>
        <w:numPr>
          <w:ilvl w:val="0"/>
          <w:numId w:val="12"/>
        </w:numPr>
        <w:ind w:left="1134"/>
        <w:rPr>
          <w:rFonts w:ascii="Times New Roman" w:eastAsia="Times New Roman" w:hAnsi="Times New Roman"/>
          <w:sz w:val="24"/>
          <w:szCs w:val="24"/>
        </w:rPr>
      </w:pPr>
      <w:r w:rsidRPr="006D7D5E">
        <w:rPr>
          <w:rStyle w:val="s1"/>
          <w:rFonts w:ascii="Times New Roman" w:eastAsia="Times New Roman" w:hAnsi="Times New Roman"/>
          <w:sz w:val="24"/>
          <w:szCs w:val="24"/>
        </w:rPr>
        <w:t>Monetary fines</w:t>
      </w:r>
    </w:p>
    <w:p w14:paraId="685E7521" w14:textId="77777777" w:rsidR="005C78D7" w:rsidRPr="006D7D5E" w:rsidRDefault="005C78D7">
      <w:pPr>
        <w:pStyle w:val="li1"/>
        <w:numPr>
          <w:ilvl w:val="0"/>
          <w:numId w:val="12"/>
        </w:numPr>
        <w:ind w:left="1134"/>
        <w:rPr>
          <w:rFonts w:ascii="Times New Roman" w:eastAsia="Times New Roman" w:hAnsi="Times New Roman"/>
          <w:sz w:val="24"/>
          <w:szCs w:val="24"/>
        </w:rPr>
      </w:pPr>
      <w:r w:rsidRPr="006D7D5E">
        <w:rPr>
          <w:rStyle w:val="s1"/>
          <w:rFonts w:ascii="Times New Roman" w:eastAsia="Times New Roman" w:hAnsi="Times New Roman"/>
          <w:sz w:val="24"/>
          <w:szCs w:val="24"/>
        </w:rPr>
        <w:t>Enforced compensation payments to affected consumers</w:t>
      </w:r>
    </w:p>
    <w:p w14:paraId="0AC06CD3" w14:textId="77777777" w:rsidR="005C78D7" w:rsidRPr="006D7D5E" w:rsidRDefault="005C78D7">
      <w:pPr>
        <w:pStyle w:val="li1"/>
        <w:numPr>
          <w:ilvl w:val="0"/>
          <w:numId w:val="12"/>
        </w:numPr>
        <w:ind w:left="1134"/>
        <w:rPr>
          <w:rFonts w:ascii="Times New Roman" w:eastAsia="Times New Roman" w:hAnsi="Times New Roman"/>
          <w:sz w:val="24"/>
          <w:szCs w:val="24"/>
        </w:rPr>
      </w:pPr>
      <w:r w:rsidRPr="006D7D5E">
        <w:rPr>
          <w:rStyle w:val="s1"/>
          <w:rFonts w:ascii="Times New Roman" w:eastAsia="Times New Roman" w:hAnsi="Times New Roman"/>
          <w:sz w:val="24"/>
          <w:szCs w:val="24"/>
        </w:rPr>
        <w:t>Restricting processing and/or provision of digital identity services</w:t>
      </w:r>
    </w:p>
    <w:p w14:paraId="131B9B78" w14:textId="77777777" w:rsidR="005C78D7" w:rsidRPr="006D7D5E" w:rsidRDefault="005C78D7">
      <w:pPr>
        <w:pStyle w:val="li1"/>
        <w:numPr>
          <w:ilvl w:val="0"/>
          <w:numId w:val="12"/>
        </w:numPr>
        <w:ind w:left="1134"/>
        <w:rPr>
          <w:rFonts w:ascii="Times New Roman" w:eastAsia="Times New Roman" w:hAnsi="Times New Roman"/>
          <w:sz w:val="24"/>
          <w:szCs w:val="24"/>
        </w:rPr>
      </w:pPr>
      <w:r w:rsidRPr="006D7D5E">
        <w:rPr>
          <w:rStyle w:val="s1"/>
          <w:rFonts w:ascii="Times New Roman" w:eastAsia="Times New Roman" w:hAnsi="Times New Roman"/>
          <w:sz w:val="24"/>
          <w:szCs w:val="24"/>
        </w:rPr>
        <w:t>Issue reprimand notices for minor offences with persistent reprimands requiring further investigation</w:t>
      </w:r>
    </w:p>
    <w:p w14:paraId="252802A4" w14:textId="4E88CE36" w:rsidR="005C78D7" w:rsidRPr="006D7D5E" w:rsidRDefault="005C78D7" w:rsidP="00922A29">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Yes.</w:t>
      </w:r>
      <w:r w:rsidR="00A917F7" w:rsidRPr="006D7D5E">
        <w:rPr>
          <w:rStyle w:val="s1"/>
          <w:rFonts w:ascii="Times New Roman" w:hAnsi="Times New Roman"/>
          <w:sz w:val="24"/>
          <w:szCs w:val="24"/>
        </w:rPr>
        <w:t xml:space="preserve"> </w:t>
      </w:r>
      <w:r w:rsidR="004F46FD" w:rsidRPr="006D7D5E">
        <w:rPr>
          <w:rStyle w:val="s1"/>
          <w:rFonts w:ascii="Times New Roman" w:hAnsi="Times New Roman"/>
          <w:sz w:val="24"/>
          <w:szCs w:val="24"/>
        </w:rPr>
        <w:t xml:space="preserve">Kantara suggests </w:t>
      </w:r>
      <w:r w:rsidR="00A5555A" w:rsidRPr="006D7D5E">
        <w:rPr>
          <w:rStyle w:val="s1"/>
          <w:rFonts w:ascii="Times New Roman" w:hAnsi="Times New Roman"/>
          <w:sz w:val="24"/>
          <w:szCs w:val="24"/>
        </w:rPr>
        <w:t xml:space="preserve">that </w:t>
      </w:r>
      <w:r w:rsidR="00F60821" w:rsidRPr="006D7D5E">
        <w:rPr>
          <w:rStyle w:val="s1"/>
          <w:rFonts w:ascii="Times New Roman" w:hAnsi="Times New Roman"/>
          <w:sz w:val="24"/>
          <w:szCs w:val="24"/>
        </w:rPr>
        <w:t xml:space="preserve">joining the service be in the form of a contract so that </w:t>
      </w:r>
      <w:r w:rsidR="005A5F7D" w:rsidRPr="006D7D5E">
        <w:rPr>
          <w:rStyle w:val="s1"/>
          <w:rFonts w:ascii="Times New Roman" w:hAnsi="Times New Roman"/>
          <w:sz w:val="24"/>
          <w:szCs w:val="24"/>
        </w:rPr>
        <w:t>violations can be a matter of contract law enforcement</w:t>
      </w:r>
      <w:r w:rsidR="00010336" w:rsidRPr="006D7D5E">
        <w:rPr>
          <w:rStyle w:val="s1"/>
          <w:rFonts w:ascii="Times New Roman" w:hAnsi="Times New Roman"/>
          <w:sz w:val="24"/>
          <w:szCs w:val="24"/>
        </w:rPr>
        <w:t>.</w:t>
      </w:r>
    </w:p>
    <w:p w14:paraId="0AFA2253" w14:textId="77777777" w:rsidR="00922A29" w:rsidRPr="006D7D5E" w:rsidRDefault="00922A29" w:rsidP="00922A29">
      <w:pPr>
        <w:pStyle w:val="p1"/>
        <w:ind w:left="709"/>
        <w:rPr>
          <w:rFonts w:ascii="Times New Roman" w:hAnsi="Times New Roman"/>
          <w:sz w:val="24"/>
          <w:szCs w:val="24"/>
        </w:rPr>
      </w:pPr>
    </w:p>
    <w:p w14:paraId="39038E56"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Should the governing body publish all enforcement action undertaken for transparency and consumer awareness?</w:t>
      </w:r>
    </w:p>
    <w:p w14:paraId="58785E52" w14:textId="77777777" w:rsidR="005C78D7" w:rsidRPr="006D7D5E" w:rsidRDefault="005C78D7" w:rsidP="00922A29">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Kantara is a proponent of transparency.</w:t>
      </w:r>
    </w:p>
    <w:p w14:paraId="1CC74AE8" w14:textId="77777777" w:rsidR="00922A29" w:rsidRPr="006D7D5E" w:rsidRDefault="00922A29" w:rsidP="00922A29">
      <w:pPr>
        <w:pStyle w:val="p1"/>
        <w:ind w:left="709"/>
        <w:rPr>
          <w:rFonts w:ascii="Times New Roman" w:hAnsi="Times New Roman"/>
          <w:sz w:val="24"/>
          <w:szCs w:val="24"/>
        </w:rPr>
      </w:pPr>
    </w:p>
    <w:p w14:paraId="249154F7" w14:textId="77777777" w:rsidR="005C78D7" w:rsidRPr="006D7D5E" w:rsidRDefault="005C78D7" w:rsidP="001D052E">
      <w:pPr>
        <w:pStyle w:val="li1"/>
        <w:numPr>
          <w:ilvl w:val="0"/>
          <w:numId w:val="1"/>
        </w:numPr>
        <w:rPr>
          <w:rStyle w:val="s1"/>
          <w:rFonts w:ascii="Times New Roman" w:eastAsia="Times New Roman" w:hAnsi="Times New Roman"/>
          <w:sz w:val="24"/>
          <w:szCs w:val="24"/>
        </w:rPr>
      </w:pPr>
      <w:r w:rsidRPr="006D7D5E">
        <w:rPr>
          <w:rStyle w:val="s1"/>
          <w:rFonts w:ascii="Times New Roman" w:eastAsia="Times New Roman" w:hAnsi="Times New Roman"/>
          <w:sz w:val="24"/>
          <w:szCs w:val="24"/>
        </w:rPr>
        <w:t>What framework-level fraud and security management initiatives should be put in place?</w:t>
      </w:r>
    </w:p>
    <w:p w14:paraId="7675416C" w14:textId="77777777" w:rsidR="00922A29" w:rsidRPr="006D7D5E" w:rsidRDefault="00922A29" w:rsidP="00922A29">
      <w:pPr>
        <w:pStyle w:val="li1"/>
        <w:ind w:left="720"/>
        <w:rPr>
          <w:rFonts w:ascii="Times New Roman" w:eastAsia="Times New Roman" w:hAnsi="Times New Roman"/>
          <w:sz w:val="24"/>
          <w:szCs w:val="24"/>
        </w:rPr>
      </w:pPr>
    </w:p>
    <w:p w14:paraId="0B5BC732" w14:textId="5AACDC9F" w:rsidR="005C78D7" w:rsidRPr="006D7D5E" w:rsidRDefault="005C78D7" w:rsidP="001D052E">
      <w:pPr>
        <w:pStyle w:val="li1"/>
        <w:numPr>
          <w:ilvl w:val="0"/>
          <w:numId w:val="1"/>
        </w:numPr>
        <w:rPr>
          <w:rStyle w:val="s1"/>
          <w:rFonts w:ascii="Times New Roman" w:eastAsia="Times New Roman" w:hAnsi="Times New Roman"/>
          <w:sz w:val="24"/>
          <w:szCs w:val="24"/>
        </w:rPr>
      </w:pPr>
      <w:r w:rsidRPr="006D7D5E">
        <w:rPr>
          <w:rStyle w:val="s1"/>
          <w:rFonts w:ascii="Times New Roman" w:eastAsia="Times New Roman" w:hAnsi="Times New Roman"/>
          <w:sz w:val="24"/>
          <w:szCs w:val="24"/>
        </w:rPr>
        <w:t>How else can we encourage more inclusive digital identities?</w:t>
      </w:r>
    </w:p>
    <w:p w14:paraId="5AF57F7C" w14:textId="77777777" w:rsidR="00922A29" w:rsidRPr="006D7D5E" w:rsidRDefault="00922A29" w:rsidP="00922A29">
      <w:pPr>
        <w:pStyle w:val="li1"/>
        <w:rPr>
          <w:rFonts w:ascii="Times New Roman" w:eastAsia="Times New Roman" w:hAnsi="Times New Roman"/>
          <w:sz w:val="24"/>
          <w:szCs w:val="24"/>
        </w:rPr>
      </w:pPr>
    </w:p>
    <w:p w14:paraId="1728AC57"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What are the advantages and disadvantages with this exclusion report approach?</w:t>
      </w:r>
    </w:p>
    <w:p w14:paraId="0E68357D" w14:textId="77777777" w:rsidR="005C78D7" w:rsidRPr="006D7D5E" w:rsidRDefault="005C78D7" w:rsidP="00922A29">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While the document states that the production of the Exclusion Report should not create overhead for the organization, the mere fact of having to create a report, for many small to medium sized organizations, will create an overhead. As such, Kantara recommends that the requirement for producing an Exclusion Report be carefully considered.</w:t>
      </w:r>
    </w:p>
    <w:p w14:paraId="4ED8B282" w14:textId="77777777" w:rsidR="00331A7F" w:rsidRPr="006D7D5E" w:rsidRDefault="00331A7F" w:rsidP="00922A29">
      <w:pPr>
        <w:pStyle w:val="p1"/>
        <w:ind w:left="709"/>
        <w:rPr>
          <w:rFonts w:ascii="Times New Roman" w:hAnsi="Times New Roman"/>
          <w:sz w:val="24"/>
          <w:szCs w:val="24"/>
        </w:rPr>
      </w:pPr>
    </w:p>
    <w:p w14:paraId="6A45049C" w14:textId="77777777" w:rsidR="005C78D7" w:rsidRPr="006D7D5E" w:rsidRDefault="005C78D7" w:rsidP="001D052E">
      <w:pPr>
        <w:pStyle w:val="li1"/>
        <w:numPr>
          <w:ilvl w:val="0"/>
          <w:numId w:val="1"/>
        </w:numPr>
        <w:rPr>
          <w:rStyle w:val="s1"/>
          <w:rFonts w:ascii="Times New Roman" w:eastAsia="Times New Roman" w:hAnsi="Times New Roman"/>
          <w:sz w:val="24"/>
          <w:szCs w:val="24"/>
        </w:rPr>
      </w:pPr>
      <w:r w:rsidRPr="006D7D5E">
        <w:rPr>
          <w:rStyle w:val="s1"/>
          <w:rFonts w:ascii="Times New Roman" w:eastAsia="Times New Roman" w:hAnsi="Times New Roman"/>
          <w:sz w:val="24"/>
          <w:szCs w:val="24"/>
        </w:rPr>
        <w:t>What would you expect the exclusion report to include?</w:t>
      </w:r>
    </w:p>
    <w:p w14:paraId="74CEB746" w14:textId="77777777" w:rsidR="00331A7F" w:rsidRPr="006D7D5E" w:rsidRDefault="00331A7F" w:rsidP="00331A7F">
      <w:pPr>
        <w:pStyle w:val="li1"/>
        <w:ind w:left="720"/>
        <w:rPr>
          <w:rFonts w:ascii="Times New Roman" w:eastAsia="Times New Roman" w:hAnsi="Times New Roman"/>
          <w:sz w:val="24"/>
          <w:szCs w:val="24"/>
        </w:rPr>
      </w:pPr>
    </w:p>
    <w:p w14:paraId="3959FA22"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Should membership of the trust framework be a prerequisite for an organisation to make eligibility or identity checks against government-held data?</w:t>
      </w:r>
    </w:p>
    <w:p w14:paraId="4BDDAE03" w14:textId="77777777" w:rsidR="005C78D7" w:rsidRPr="006D7D5E" w:rsidRDefault="005C78D7" w:rsidP="00331A7F">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Yes. As was identified in the response to Question 8, the cost of membership should include the cost of certification or recertification. It also needs to be measured against the savings an organization will realize from using digital identification.</w:t>
      </w:r>
    </w:p>
    <w:p w14:paraId="126983C2" w14:textId="77777777" w:rsidR="00331A7F" w:rsidRPr="006D7D5E" w:rsidRDefault="00331A7F" w:rsidP="00331A7F">
      <w:pPr>
        <w:pStyle w:val="p1"/>
        <w:ind w:left="709"/>
        <w:rPr>
          <w:rFonts w:ascii="Times New Roman" w:hAnsi="Times New Roman"/>
          <w:sz w:val="24"/>
          <w:szCs w:val="24"/>
        </w:rPr>
      </w:pPr>
    </w:p>
    <w:p w14:paraId="74F054B5"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Should a requirement to allow an alternative pathway for those who fail a digital check be set out in legislation or by the governing body in standards?</w:t>
      </w:r>
    </w:p>
    <w:p w14:paraId="42EE9C8A" w14:textId="77777777" w:rsidR="005C78D7" w:rsidRPr="006D7D5E" w:rsidRDefault="005C78D7" w:rsidP="00331A7F">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Kantara recommends that it be set out in legislation as the path for non compliance to legislation is already well established.</w:t>
      </w:r>
    </w:p>
    <w:p w14:paraId="56F82C7A" w14:textId="77777777" w:rsidR="00331A7F" w:rsidRPr="006D7D5E" w:rsidRDefault="00331A7F" w:rsidP="00331A7F">
      <w:pPr>
        <w:pStyle w:val="p1"/>
        <w:ind w:left="709"/>
        <w:rPr>
          <w:rFonts w:ascii="Times New Roman" w:hAnsi="Times New Roman"/>
          <w:sz w:val="24"/>
          <w:szCs w:val="24"/>
        </w:rPr>
      </w:pPr>
    </w:p>
    <w:p w14:paraId="09CF3611" w14:textId="77777777" w:rsidR="005C78D7" w:rsidRPr="006D7D5E" w:rsidRDefault="005C78D7" w:rsidP="001D052E">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Should disclosure be restricted to a “yes/no’’ answer or should we allow more detailed responses if appropriate?</w:t>
      </w:r>
    </w:p>
    <w:p w14:paraId="6D59D34F" w14:textId="77777777" w:rsidR="005C78D7" w:rsidRPr="006D7D5E" w:rsidRDefault="005C78D7" w:rsidP="00331A7F">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Kantara would recommend that more detailed responses be allowed to accommodate future, yet unknown, requirements to be accommodated.</w:t>
      </w:r>
    </w:p>
    <w:p w14:paraId="2A0C7330" w14:textId="77777777" w:rsidR="00331A7F" w:rsidRPr="006D7D5E" w:rsidRDefault="00331A7F" w:rsidP="00331A7F">
      <w:pPr>
        <w:pStyle w:val="p1"/>
        <w:ind w:left="709"/>
        <w:rPr>
          <w:rFonts w:ascii="Times New Roman" w:hAnsi="Times New Roman"/>
          <w:sz w:val="24"/>
          <w:szCs w:val="24"/>
        </w:rPr>
      </w:pPr>
    </w:p>
    <w:p w14:paraId="3AABCB16" w14:textId="77777777" w:rsidR="005C78D7" w:rsidRPr="006D7D5E" w:rsidRDefault="005C78D7" w:rsidP="00A52248">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Would a code of practice be helpful to ensure officials and organisations understand how to correctly check information?</w:t>
      </w:r>
    </w:p>
    <w:p w14:paraId="6B9ACBE1" w14:textId="77777777" w:rsidR="005C78D7" w:rsidRPr="006D7D5E" w:rsidRDefault="005C78D7" w:rsidP="00331A7F">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Yes.</w:t>
      </w:r>
    </w:p>
    <w:p w14:paraId="2C8C5C1E" w14:textId="77777777" w:rsidR="00331A7F" w:rsidRPr="006D7D5E" w:rsidRDefault="00331A7F" w:rsidP="00331A7F">
      <w:pPr>
        <w:pStyle w:val="p1"/>
        <w:ind w:left="709"/>
        <w:rPr>
          <w:rFonts w:ascii="Times New Roman" w:hAnsi="Times New Roman"/>
          <w:sz w:val="24"/>
          <w:szCs w:val="24"/>
        </w:rPr>
      </w:pPr>
    </w:p>
    <w:p w14:paraId="1FB6BB99" w14:textId="77777777" w:rsidR="005C78D7" w:rsidRPr="006D7D5E" w:rsidRDefault="005C78D7" w:rsidP="00A52248">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What are the advantages or disadvantages of allowing the onward transfer of government-confirmed attributes, as set out?</w:t>
      </w:r>
    </w:p>
    <w:p w14:paraId="4047A81C" w14:textId="77777777" w:rsidR="005C78D7" w:rsidRPr="006D7D5E" w:rsidRDefault="005C78D7" w:rsidP="00331A7F">
      <w:pPr>
        <w:pStyle w:val="p1"/>
        <w:ind w:left="709"/>
        <w:rPr>
          <w:rStyle w:val="s1"/>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the number of confirmations performed by a government department would be lower. As is said in the document, the onus is on the user of the confirmation, based on their risk analysis, to determine the period of time they will allow a confirmation to be valid.</w:t>
      </w:r>
    </w:p>
    <w:p w14:paraId="1809179C" w14:textId="77777777" w:rsidR="00331A7F" w:rsidRPr="006D7D5E" w:rsidRDefault="00331A7F" w:rsidP="00331A7F">
      <w:pPr>
        <w:pStyle w:val="p1"/>
        <w:ind w:left="709"/>
        <w:rPr>
          <w:rFonts w:ascii="Times New Roman" w:hAnsi="Times New Roman"/>
          <w:sz w:val="24"/>
          <w:szCs w:val="24"/>
        </w:rPr>
      </w:pPr>
    </w:p>
    <w:p w14:paraId="2FDB828E" w14:textId="77777777" w:rsidR="005C78D7" w:rsidRPr="006D7D5E" w:rsidRDefault="005C78D7" w:rsidP="001C0AD8">
      <w:pPr>
        <w:pStyle w:val="li1"/>
        <w:numPr>
          <w:ilvl w:val="0"/>
          <w:numId w:val="1"/>
        </w:numPr>
        <w:rPr>
          <w:rFonts w:ascii="Times New Roman" w:eastAsia="Times New Roman" w:hAnsi="Times New Roman"/>
          <w:sz w:val="24"/>
          <w:szCs w:val="24"/>
        </w:rPr>
      </w:pPr>
      <w:r w:rsidRPr="006D7D5E">
        <w:rPr>
          <w:rStyle w:val="s1"/>
          <w:rFonts w:ascii="Times New Roman" w:eastAsia="Times New Roman" w:hAnsi="Times New Roman"/>
          <w:sz w:val="24"/>
          <w:szCs w:val="24"/>
        </w:rPr>
        <w:t>Would it be helpful to affirm in legislation that digital identities and digital attributes can be as valid as physical forms of identification, or traditional identity documents?</w:t>
      </w:r>
    </w:p>
    <w:p w14:paraId="132C54FC" w14:textId="06E557D7" w:rsidR="005C78D7" w:rsidRPr="006D7D5E" w:rsidRDefault="005C78D7" w:rsidP="00331A7F">
      <w:pPr>
        <w:pStyle w:val="p1"/>
        <w:ind w:left="709"/>
        <w:rPr>
          <w:rFonts w:ascii="Times New Roman" w:hAnsi="Times New Roman"/>
          <w:sz w:val="24"/>
          <w:szCs w:val="24"/>
        </w:rPr>
      </w:pPr>
      <w:r w:rsidRPr="006D7D5E">
        <w:rPr>
          <w:rStyle w:val="s1"/>
          <w:rFonts w:ascii="Times New Roman" w:hAnsi="Times New Roman"/>
          <w:b/>
          <w:bCs/>
          <w:sz w:val="24"/>
          <w:szCs w:val="24"/>
        </w:rPr>
        <w:t>Kantara Response</w:t>
      </w:r>
      <w:r w:rsidRPr="006D7D5E">
        <w:rPr>
          <w:rStyle w:val="s1"/>
          <w:rFonts w:ascii="Times New Roman" w:hAnsi="Times New Roman"/>
          <w:sz w:val="24"/>
          <w:szCs w:val="24"/>
        </w:rPr>
        <w:t>: While affirmation in legislation would be helpful, Kantara believes that strong and persistent communication of the equivalence would be more effective.</w:t>
      </w:r>
      <w:r w:rsidR="00A917F7" w:rsidRPr="006D7D5E">
        <w:rPr>
          <w:rStyle w:val="apple-converted-space"/>
          <w:rFonts w:ascii="Times New Roman" w:hAnsi="Times New Roman"/>
          <w:sz w:val="24"/>
          <w:szCs w:val="24"/>
        </w:rPr>
        <w:t xml:space="preserve"> </w:t>
      </w:r>
      <w:r w:rsidRPr="006D7D5E">
        <w:rPr>
          <w:rStyle w:val="s1"/>
          <w:rFonts w:ascii="Times New Roman" w:hAnsi="Times New Roman"/>
          <w:sz w:val="24"/>
          <w:szCs w:val="24"/>
        </w:rPr>
        <w:t>It could also be effective for the government to underwrite the cost of misidentification when digital identification is used.</w:t>
      </w:r>
    </w:p>
    <w:p w14:paraId="26C50165" w14:textId="77777777" w:rsidR="005C78D7" w:rsidRPr="006D7D5E" w:rsidRDefault="005C78D7">
      <w:pPr>
        <w:rPr>
          <w:rFonts w:ascii="Times New Roman" w:hAnsi="Times New Roman" w:cs="Times New Roman"/>
          <w:sz w:val="24"/>
          <w:szCs w:val="24"/>
        </w:rPr>
      </w:pPr>
    </w:p>
    <w:sectPr w:rsidR="005C78D7" w:rsidRPr="006D7D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FUI-Regular">
    <w:altName w:val="Cambria"/>
    <w:panose1 w:val="020B06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ppleSystemUIFon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B6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55660A"/>
    <w:multiLevelType w:val="multilevel"/>
    <w:tmpl w:val="D7881C8E"/>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ascii=".SFUI-Regular" w:hAnsi=".SFUI-Regular"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2A69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FE163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9016F"/>
    <w:multiLevelType w:val="hybridMultilevel"/>
    <w:tmpl w:val="4BC40EB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91E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3243C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F1D7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A61B8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130C6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410CE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DB6DF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FD73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6D03C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3A496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5B619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643A7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61334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0F0445"/>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3775F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C17E6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6"/>
  </w:num>
  <w:num w:numId="3">
    <w:abstractNumId w:val="19"/>
  </w:num>
  <w:num w:numId="4">
    <w:abstractNumId w:val="8"/>
  </w:num>
  <w:num w:numId="5">
    <w:abstractNumId w:val="17"/>
  </w:num>
  <w:num w:numId="6">
    <w:abstractNumId w:val="0"/>
  </w:num>
  <w:num w:numId="7">
    <w:abstractNumId w:val="5"/>
  </w:num>
  <w:num w:numId="8">
    <w:abstractNumId w:val="9"/>
  </w:num>
  <w:num w:numId="9">
    <w:abstractNumId w:val="12"/>
  </w:num>
  <w:num w:numId="10">
    <w:abstractNumId w:val="15"/>
  </w:num>
  <w:num w:numId="11">
    <w:abstractNumId w:val="3"/>
  </w:num>
  <w:num w:numId="12">
    <w:abstractNumId w:val="1"/>
  </w:num>
  <w:num w:numId="13">
    <w:abstractNumId w:val="14"/>
  </w:num>
  <w:num w:numId="14">
    <w:abstractNumId w:val="6"/>
  </w:num>
  <w:num w:numId="15">
    <w:abstractNumId w:val="18"/>
  </w:num>
  <w:num w:numId="16">
    <w:abstractNumId w:val="20"/>
  </w:num>
  <w:num w:numId="17">
    <w:abstractNumId w:val="11"/>
  </w:num>
  <w:num w:numId="18">
    <w:abstractNumId w:val="10"/>
  </w:num>
  <w:num w:numId="19">
    <w:abstractNumId w:val="2"/>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8D7"/>
    <w:rsid w:val="00010336"/>
    <w:rsid w:val="00047546"/>
    <w:rsid w:val="000648FB"/>
    <w:rsid w:val="00093E92"/>
    <w:rsid w:val="000B76BF"/>
    <w:rsid w:val="000E12F9"/>
    <w:rsid w:val="000E3EF2"/>
    <w:rsid w:val="00106FA6"/>
    <w:rsid w:val="001225DD"/>
    <w:rsid w:val="00131371"/>
    <w:rsid w:val="00133E28"/>
    <w:rsid w:val="00150EBF"/>
    <w:rsid w:val="00170AEB"/>
    <w:rsid w:val="0017416D"/>
    <w:rsid w:val="001B125E"/>
    <w:rsid w:val="001B75CD"/>
    <w:rsid w:val="001C0AD8"/>
    <w:rsid w:val="001D052E"/>
    <w:rsid w:val="00217AEF"/>
    <w:rsid w:val="00222637"/>
    <w:rsid w:val="0023126A"/>
    <w:rsid w:val="00264E94"/>
    <w:rsid w:val="00285C87"/>
    <w:rsid w:val="002A431E"/>
    <w:rsid w:val="002C5C75"/>
    <w:rsid w:val="002D0D38"/>
    <w:rsid w:val="003109BE"/>
    <w:rsid w:val="00331A7F"/>
    <w:rsid w:val="0035523A"/>
    <w:rsid w:val="00370199"/>
    <w:rsid w:val="00376B3F"/>
    <w:rsid w:val="003D15F6"/>
    <w:rsid w:val="003D69B8"/>
    <w:rsid w:val="00403B07"/>
    <w:rsid w:val="00436FD3"/>
    <w:rsid w:val="00456881"/>
    <w:rsid w:val="00462F07"/>
    <w:rsid w:val="00481973"/>
    <w:rsid w:val="00483916"/>
    <w:rsid w:val="00495B06"/>
    <w:rsid w:val="004C666C"/>
    <w:rsid w:val="004F46FD"/>
    <w:rsid w:val="005002FC"/>
    <w:rsid w:val="00550CFD"/>
    <w:rsid w:val="00571600"/>
    <w:rsid w:val="00585B74"/>
    <w:rsid w:val="005A3D4B"/>
    <w:rsid w:val="005A5F7D"/>
    <w:rsid w:val="005B7C12"/>
    <w:rsid w:val="005C78D7"/>
    <w:rsid w:val="00611380"/>
    <w:rsid w:val="00615274"/>
    <w:rsid w:val="00653988"/>
    <w:rsid w:val="00665271"/>
    <w:rsid w:val="00687922"/>
    <w:rsid w:val="00690EEA"/>
    <w:rsid w:val="00691E01"/>
    <w:rsid w:val="006D7D5E"/>
    <w:rsid w:val="00705141"/>
    <w:rsid w:val="00747D1E"/>
    <w:rsid w:val="00763268"/>
    <w:rsid w:val="00763525"/>
    <w:rsid w:val="00765E40"/>
    <w:rsid w:val="007B79D7"/>
    <w:rsid w:val="007D5BAC"/>
    <w:rsid w:val="00800628"/>
    <w:rsid w:val="008349E6"/>
    <w:rsid w:val="008677F8"/>
    <w:rsid w:val="00871246"/>
    <w:rsid w:val="0087773F"/>
    <w:rsid w:val="00896929"/>
    <w:rsid w:val="008A202C"/>
    <w:rsid w:val="008C7E49"/>
    <w:rsid w:val="009043B4"/>
    <w:rsid w:val="009106AC"/>
    <w:rsid w:val="00922A29"/>
    <w:rsid w:val="0093248E"/>
    <w:rsid w:val="00947BD2"/>
    <w:rsid w:val="009F157E"/>
    <w:rsid w:val="009F4576"/>
    <w:rsid w:val="00A07397"/>
    <w:rsid w:val="00A12F47"/>
    <w:rsid w:val="00A203E8"/>
    <w:rsid w:val="00A52248"/>
    <w:rsid w:val="00A5555A"/>
    <w:rsid w:val="00A71A6D"/>
    <w:rsid w:val="00A7276A"/>
    <w:rsid w:val="00A83B65"/>
    <w:rsid w:val="00A8504B"/>
    <w:rsid w:val="00A917F7"/>
    <w:rsid w:val="00AA2EEB"/>
    <w:rsid w:val="00AF42D9"/>
    <w:rsid w:val="00B4602F"/>
    <w:rsid w:val="00B47098"/>
    <w:rsid w:val="00B712ED"/>
    <w:rsid w:val="00B7183F"/>
    <w:rsid w:val="00B71849"/>
    <w:rsid w:val="00B81C33"/>
    <w:rsid w:val="00BA65C4"/>
    <w:rsid w:val="00BC1D68"/>
    <w:rsid w:val="00BE2B9A"/>
    <w:rsid w:val="00C3442E"/>
    <w:rsid w:val="00C400C1"/>
    <w:rsid w:val="00C53ADE"/>
    <w:rsid w:val="00C75D28"/>
    <w:rsid w:val="00C82C4B"/>
    <w:rsid w:val="00C87CE6"/>
    <w:rsid w:val="00C95E35"/>
    <w:rsid w:val="00CB0C36"/>
    <w:rsid w:val="00CD6ADC"/>
    <w:rsid w:val="00D52A15"/>
    <w:rsid w:val="00D52F4D"/>
    <w:rsid w:val="00E141C5"/>
    <w:rsid w:val="00E2427C"/>
    <w:rsid w:val="00E52678"/>
    <w:rsid w:val="00E54A25"/>
    <w:rsid w:val="00E718C2"/>
    <w:rsid w:val="00EA410F"/>
    <w:rsid w:val="00EE768F"/>
    <w:rsid w:val="00F03AF5"/>
    <w:rsid w:val="00F05BD7"/>
    <w:rsid w:val="00F23A41"/>
    <w:rsid w:val="00F52C1D"/>
    <w:rsid w:val="00F60821"/>
    <w:rsid w:val="00F71A9D"/>
    <w:rsid w:val="00FB2E2C"/>
    <w:rsid w:val="00FB69BD"/>
    <w:rsid w:val="00FE5C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90EC"/>
  <w15:chartTrackingRefBased/>
  <w15:docId w15:val="{19ADC8C6-A4C3-B541-AC57-42054DD2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60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5C78D7"/>
    <w:rPr>
      <w:rFonts w:ascii=".AppleSystemUIFont" w:hAnsi=".AppleSystemUIFont" w:cs="Times New Roman"/>
      <w:sz w:val="26"/>
      <w:szCs w:val="26"/>
    </w:rPr>
  </w:style>
  <w:style w:type="paragraph" w:customStyle="1" w:styleId="p2">
    <w:name w:val="p2"/>
    <w:basedOn w:val="Normal"/>
    <w:rsid w:val="005C78D7"/>
    <w:rPr>
      <w:rFonts w:ascii=".AppleSystemUIFont" w:hAnsi=".AppleSystemUIFont" w:cs="Times New Roman"/>
      <w:sz w:val="26"/>
      <w:szCs w:val="26"/>
    </w:rPr>
  </w:style>
  <w:style w:type="character" w:customStyle="1" w:styleId="s1">
    <w:name w:val="s1"/>
    <w:basedOn w:val="DefaultParagraphFont"/>
    <w:rsid w:val="005C78D7"/>
    <w:rPr>
      <w:rFonts w:ascii=".SFUI-Regular" w:hAnsi=".SFUI-Regular" w:hint="default"/>
      <w:b w:val="0"/>
      <w:bCs w:val="0"/>
      <w:i w:val="0"/>
      <w:iCs w:val="0"/>
      <w:sz w:val="26"/>
      <w:szCs w:val="26"/>
    </w:rPr>
  </w:style>
  <w:style w:type="character" w:customStyle="1" w:styleId="s2">
    <w:name w:val="s2"/>
    <w:basedOn w:val="DefaultParagraphFont"/>
    <w:rsid w:val="005C78D7"/>
    <w:rPr>
      <w:rFonts w:ascii=".SFUI-Regular" w:hAnsi=".SFUI-Regular" w:hint="default"/>
      <w:b w:val="0"/>
      <w:bCs w:val="0"/>
      <w:i w:val="0"/>
      <w:iCs w:val="0"/>
      <w:sz w:val="26"/>
      <w:szCs w:val="26"/>
      <w:u w:val="single"/>
    </w:rPr>
  </w:style>
  <w:style w:type="character" w:customStyle="1" w:styleId="s3">
    <w:name w:val="s3"/>
    <w:basedOn w:val="DefaultParagraphFont"/>
    <w:rsid w:val="005C78D7"/>
    <w:rPr>
      <w:rFonts w:ascii=".SFUI-Regular" w:hAnsi=".SFUI-Regular" w:hint="default"/>
      <w:b w:val="0"/>
      <w:bCs w:val="0"/>
      <w:i w:val="0"/>
      <w:iCs w:val="0"/>
      <w:color w:val="E4AF0A"/>
      <w:sz w:val="26"/>
      <w:szCs w:val="26"/>
      <w:u w:val="single"/>
    </w:rPr>
  </w:style>
  <w:style w:type="paragraph" w:customStyle="1" w:styleId="li1">
    <w:name w:val="li1"/>
    <w:basedOn w:val="Normal"/>
    <w:rsid w:val="005C78D7"/>
    <w:rPr>
      <w:rFonts w:ascii=".AppleSystemUIFont" w:hAnsi=".AppleSystemUIFont" w:cs="Times New Roman"/>
      <w:sz w:val="26"/>
      <w:szCs w:val="26"/>
    </w:rPr>
  </w:style>
  <w:style w:type="character" w:customStyle="1" w:styleId="apple-converted-space">
    <w:name w:val="apple-converted-space"/>
    <w:basedOn w:val="DefaultParagraphFont"/>
    <w:rsid w:val="005C78D7"/>
  </w:style>
  <w:style w:type="paragraph" w:styleId="ListParagraph">
    <w:name w:val="List Paragraph"/>
    <w:basedOn w:val="Normal"/>
    <w:uiPriority w:val="34"/>
    <w:qFormat/>
    <w:rsid w:val="00922A29"/>
    <w:pPr>
      <w:ind w:left="720"/>
      <w:contextualSpacing/>
    </w:pPr>
  </w:style>
  <w:style w:type="character" w:styleId="CommentReference">
    <w:name w:val="annotation reference"/>
    <w:basedOn w:val="DefaultParagraphFont"/>
    <w:uiPriority w:val="99"/>
    <w:semiHidden/>
    <w:unhideWhenUsed/>
    <w:rsid w:val="00F52C1D"/>
    <w:rPr>
      <w:sz w:val="16"/>
      <w:szCs w:val="16"/>
    </w:rPr>
  </w:style>
  <w:style w:type="paragraph" w:styleId="CommentText">
    <w:name w:val="annotation text"/>
    <w:basedOn w:val="Normal"/>
    <w:link w:val="CommentTextChar"/>
    <w:uiPriority w:val="99"/>
    <w:unhideWhenUsed/>
    <w:rsid w:val="00F52C1D"/>
    <w:rPr>
      <w:sz w:val="20"/>
      <w:szCs w:val="20"/>
    </w:rPr>
  </w:style>
  <w:style w:type="character" w:customStyle="1" w:styleId="CommentTextChar">
    <w:name w:val="Comment Text Char"/>
    <w:basedOn w:val="DefaultParagraphFont"/>
    <w:link w:val="CommentText"/>
    <w:uiPriority w:val="99"/>
    <w:rsid w:val="00F52C1D"/>
    <w:rPr>
      <w:sz w:val="20"/>
      <w:szCs w:val="20"/>
    </w:rPr>
  </w:style>
  <w:style w:type="paragraph" w:styleId="CommentSubject">
    <w:name w:val="annotation subject"/>
    <w:basedOn w:val="CommentText"/>
    <w:next w:val="CommentText"/>
    <w:link w:val="CommentSubjectChar"/>
    <w:uiPriority w:val="99"/>
    <w:semiHidden/>
    <w:unhideWhenUsed/>
    <w:rsid w:val="00F52C1D"/>
    <w:rPr>
      <w:b/>
      <w:bCs/>
    </w:rPr>
  </w:style>
  <w:style w:type="character" w:customStyle="1" w:styleId="CommentSubjectChar">
    <w:name w:val="Comment Subject Char"/>
    <w:basedOn w:val="CommentTextChar"/>
    <w:link w:val="CommentSubject"/>
    <w:uiPriority w:val="99"/>
    <w:semiHidden/>
    <w:rsid w:val="00F52C1D"/>
    <w:rPr>
      <w:b/>
      <w:bCs/>
      <w:sz w:val="20"/>
      <w:szCs w:val="20"/>
    </w:rPr>
  </w:style>
  <w:style w:type="character" w:styleId="Hyperlink">
    <w:name w:val="Hyperlink"/>
    <w:basedOn w:val="DefaultParagraphFont"/>
    <w:uiPriority w:val="99"/>
    <w:unhideWhenUsed/>
    <w:rsid w:val="008C7E49"/>
    <w:rPr>
      <w:color w:val="0563C1" w:themeColor="hyperlink"/>
      <w:u w:val="single"/>
    </w:rPr>
  </w:style>
  <w:style w:type="character" w:customStyle="1" w:styleId="Heading2Char">
    <w:name w:val="Heading 2 Char"/>
    <w:basedOn w:val="DefaultParagraphFont"/>
    <w:link w:val="Heading2"/>
    <w:uiPriority w:val="9"/>
    <w:rsid w:val="00B4602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uk-digital-identity-and-attributes-trust-frame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ff@KantaraInitiativ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ntarainitiative.org/trustoperations/" TargetMode="External"/><Relationship Id="rId11" Type="http://schemas.openxmlformats.org/officeDocument/2006/relationships/hyperlink" Target="https://www.gov.uk/government/consultations/digital-identity/outcome/digital-identity-call-for-evidence-response" TargetMode="External"/><Relationship Id="rId5" Type="http://schemas.openxmlformats.org/officeDocument/2006/relationships/image" Target="media/image1.png"/><Relationship Id="rId10" Type="http://schemas.openxmlformats.org/officeDocument/2006/relationships/hyperlink" Target="https://www.gov.uk/government/publications/the-uk-digital-identity-and-attributes-trust-framework" TargetMode="External"/><Relationship Id="rId4" Type="http://schemas.openxmlformats.org/officeDocument/2006/relationships/webSettings" Target="webSettings.xml"/><Relationship Id="rId9" Type="http://schemas.openxmlformats.org/officeDocument/2006/relationships/hyperlink" Target="https://www.gov.uk/government/consultations/digital-identity/outcome/digital-identity-call-for-evidence-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Dagg</dc:creator>
  <cp:keywords/>
  <dc:description/>
  <cp:lastModifiedBy>Ken Dagg</cp:lastModifiedBy>
  <cp:revision>2</cp:revision>
  <dcterms:created xsi:type="dcterms:W3CDTF">2021-09-07T22:21:00Z</dcterms:created>
  <dcterms:modified xsi:type="dcterms:W3CDTF">2021-09-07T22:21:00Z</dcterms:modified>
</cp:coreProperties>
</file>