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422"/>
        <w:gridCol w:w="6922"/>
      </w:tblGrid>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05" w:type="dxa"/>
              <w:left w:w="150" w:type="dxa"/>
              <w:bottom w:w="105" w:type="dxa"/>
              <w:right w:w="150" w:type="dxa"/>
            </w:tcMar>
          </w:tcPr>
          <w:p w:rsidR="00A967AC" w:rsidRPr="00FE3210" w:rsidRDefault="00A967AC" w:rsidP="00DE2F6D">
            <w:pPr>
              <w:spacing w:before="150"/>
              <w:jc w:val="center"/>
              <w:rPr>
                <w:rFonts w:ascii="Arial" w:eastAsia="Times New Roman" w:hAnsi="Arial" w:cs="Arial"/>
                <w:b/>
                <w:color w:val="333333"/>
                <w:sz w:val="21"/>
                <w:szCs w:val="21"/>
              </w:rPr>
            </w:pPr>
            <w:r w:rsidRPr="00FE3210">
              <w:rPr>
                <w:rFonts w:ascii="Arial" w:eastAsia="Times New Roman" w:hAnsi="Arial" w:cs="Arial"/>
                <w:b/>
                <w:color w:val="333333"/>
                <w:sz w:val="21"/>
                <w:szCs w:val="21"/>
              </w:rPr>
              <w:t>Heading</w:t>
            </w:r>
          </w:p>
        </w:tc>
        <w:tc>
          <w:tcPr>
            <w:tcW w:w="6922"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05" w:type="dxa"/>
              <w:left w:w="150" w:type="dxa"/>
              <w:bottom w:w="105" w:type="dxa"/>
              <w:right w:w="150" w:type="dxa"/>
            </w:tcMar>
          </w:tcPr>
          <w:p w:rsidR="00A967AC" w:rsidRPr="00FE3210" w:rsidRDefault="00A967AC" w:rsidP="00DE2F6D">
            <w:pPr>
              <w:spacing w:before="150"/>
              <w:rPr>
                <w:rFonts w:ascii="Arial" w:eastAsia="Times New Roman" w:hAnsi="Arial" w:cs="Arial"/>
                <w:b/>
                <w:color w:val="333333"/>
                <w:sz w:val="21"/>
                <w:szCs w:val="21"/>
              </w:rPr>
            </w:pPr>
            <w:r w:rsidRPr="00FE3210">
              <w:rPr>
                <w:rFonts w:ascii="Arial" w:eastAsia="Times New Roman" w:hAnsi="Arial" w:cs="Arial"/>
                <w:b/>
                <w:color w:val="333333"/>
                <w:sz w:val="21"/>
                <w:szCs w:val="21"/>
              </w:rPr>
              <w:t>Description</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A967AC" w:rsidRDefault="005622B3" w:rsidP="00DE2F6D">
            <w:pPr>
              <w:spacing w:before="150"/>
              <w:rPr>
                <w:rFonts w:ascii="Arial" w:eastAsia="Times New Roman" w:hAnsi="Arial" w:cs="Arial"/>
                <w:color w:val="7030A0"/>
                <w:sz w:val="21"/>
                <w:szCs w:val="21"/>
              </w:rPr>
            </w:pPr>
            <w:r>
              <w:rPr>
                <w:rFonts w:ascii="Arial" w:eastAsia="Times New Roman" w:hAnsi="Arial" w:cs="Arial"/>
                <w:color w:val="7030A0"/>
                <w:sz w:val="21"/>
                <w:szCs w:val="21"/>
              </w:rPr>
              <w:t xml:space="preserve">Scope / </w:t>
            </w:r>
            <w:r w:rsidR="00A967AC" w:rsidRPr="00A967AC">
              <w:rPr>
                <w:rFonts w:ascii="Arial" w:eastAsia="Times New Roman" w:hAnsi="Arial" w:cs="Arial"/>
                <w:color w:val="7030A0"/>
                <w:sz w:val="21"/>
                <w:szCs w:val="21"/>
              </w:rPr>
              <w:t>Use Case Class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A967AC" w:rsidRDefault="00A967AC" w:rsidP="00DE2F6D">
            <w:pPr>
              <w:spacing w:before="150"/>
              <w:rPr>
                <w:b/>
                <w:color w:val="7030A0"/>
              </w:rPr>
            </w:pPr>
            <w:r w:rsidRPr="00A967AC">
              <w:rPr>
                <w:b/>
                <w:color w:val="7030A0"/>
              </w:rPr>
              <w:t>Identity Proofing</w:t>
            </w:r>
            <w:r w:rsidR="00246138">
              <w:rPr>
                <w:b/>
                <w:color w:val="7030A0"/>
              </w:rPr>
              <w:t xml:space="preserve"> (In-Person)</w:t>
            </w:r>
            <w:bookmarkStart w:id="0" w:name="_GoBack"/>
            <w:bookmarkEnd w:id="0"/>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A967AC" w:rsidRDefault="00A967AC" w:rsidP="00DE2F6D">
            <w:pPr>
              <w:spacing w:before="150"/>
              <w:rPr>
                <w:rFonts w:ascii="Arial" w:eastAsia="Times New Roman" w:hAnsi="Arial" w:cs="Arial"/>
                <w:color w:val="0070C0"/>
                <w:sz w:val="21"/>
                <w:szCs w:val="21"/>
              </w:rPr>
            </w:pPr>
            <w:r w:rsidRPr="00A967AC">
              <w:rPr>
                <w:rFonts w:ascii="Arial" w:eastAsia="Times New Roman" w:hAnsi="Arial" w:cs="Arial"/>
                <w:color w:val="0070C0"/>
                <w:sz w:val="21"/>
                <w:szCs w:val="21"/>
              </w:rPr>
              <w:t>Use Case Name</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A967AC" w:rsidRDefault="005622B3" w:rsidP="000B7478">
            <w:pPr>
              <w:spacing w:before="150"/>
              <w:rPr>
                <w:rFonts w:ascii="Arial" w:eastAsia="Times New Roman" w:hAnsi="Arial" w:cs="Arial"/>
                <w:b/>
                <w:color w:val="0070C0"/>
                <w:sz w:val="21"/>
                <w:szCs w:val="21"/>
              </w:rPr>
            </w:pPr>
            <w:r w:rsidRPr="005622B3">
              <w:rPr>
                <w:rFonts w:ascii="Arial" w:eastAsia="Times New Roman" w:hAnsi="Arial" w:cs="Arial"/>
                <w:b/>
                <w:color w:val="0070C0"/>
                <w:sz w:val="21"/>
                <w:szCs w:val="21"/>
              </w:rPr>
              <w:t>IPP as a Service (IPPaaS) Variant</w:t>
            </w:r>
            <w:r w:rsidR="00423032">
              <w:rPr>
                <w:rFonts w:ascii="Arial" w:eastAsia="Times New Roman" w:hAnsi="Arial" w:cs="Arial"/>
                <w:b/>
                <w:color w:val="0070C0"/>
                <w:sz w:val="21"/>
                <w:szCs w:val="21"/>
              </w:rPr>
              <w:t>:</w:t>
            </w:r>
            <w:r w:rsidRPr="005622B3">
              <w:rPr>
                <w:rFonts w:ascii="Arial" w:eastAsia="Times New Roman" w:hAnsi="Arial" w:cs="Arial"/>
                <w:color w:val="0070C0"/>
                <w:sz w:val="21"/>
                <w:szCs w:val="21"/>
              </w:rPr>
              <w:t xml:space="preserve"> </w:t>
            </w:r>
            <w:r w:rsidR="000B7478">
              <w:rPr>
                <w:b/>
                <w:color w:val="0070C0"/>
              </w:rPr>
              <w:t xml:space="preserve">Recipient </w:t>
            </w:r>
            <w:r w:rsidR="00297C67">
              <w:rPr>
                <w:b/>
                <w:color w:val="0070C0"/>
              </w:rPr>
              <w:t>Proofing</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rPr>
                <w:rFonts w:ascii="Arial" w:eastAsia="Times New Roman" w:hAnsi="Arial" w:cs="Arial"/>
                <w:color w:val="333333"/>
                <w:sz w:val="21"/>
                <w:szCs w:val="21"/>
              </w:rPr>
            </w:pPr>
            <w:r w:rsidRPr="00FE3210">
              <w:rPr>
                <w:rFonts w:ascii="Arial" w:eastAsia="Times New Roman" w:hAnsi="Arial" w:cs="Arial"/>
                <w:color w:val="333333"/>
                <w:sz w:val="21"/>
                <w:szCs w:val="21"/>
              </w:rPr>
              <w:t>Context</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0B7478" w:rsidRDefault="000B7478" w:rsidP="00297C67">
            <w:r>
              <w:t xml:space="preserve">An Individual orders a hardware authenticator (e.g., U2F, smartphone) for remote access to secure web sites (e.g., banking, etc.).  The package indicates to the USPS that the Individual must prove identity prior to package receipt and contains an enrollment coder (e.g., bar code).  The Clerk </w:t>
            </w:r>
            <w:r w:rsidRPr="003868C5">
              <w:t xml:space="preserve">inspects the </w:t>
            </w:r>
            <w:r>
              <w:t>Individual</w:t>
            </w:r>
            <w:r w:rsidRPr="003868C5">
              <w:t>, their photo ID, and secondary documents</w:t>
            </w:r>
            <w:r>
              <w:t xml:space="preserve"> (if needed for proof of current address)</w:t>
            </w:r>
            <w:r w:rsidRPr="003868C5">
              <w:t xml:space="preserve">.  The </w:t>
            </w:r>
            <w:r>
              <w:t>Clerk scans the Individual’s photo ID and the enrollment barcode on the package – tying the proofing event to the hardware authenticator. The records are delivered to the employer (issuing company).</w:t>
            </w:r>
          </w:p>
          <w:p w:rsidR="005622B3" w:rsidRDefault="005622B3" w:rsidP="00297C67">
            <w:pPr>
              <w:rPr>
                <w:rFonts w:ascii="Arial" w:eastAsia="Times New Roman" w:hAnsi="Arial" w:cs="Arial"/>
                <w:color w:val="333333"/>
                <w:sz w:val="21"/>
                <w:szCs w:val="21"/>
              </w:rPr>
            </w:pPr>
          </w:p>
          <w:p w:rsidR="005622B3" w:rsidRPr="00FE3210" w:rsidRDefault="005622B3" w:rsidP="005622B3">
            <w:pPr>
              <w:rPr>
                <w:rFonts w:ascii="Arial" w:eastAsia="Times New Roman" w:hAnsi="Arial" w:cs="Arial"/>
                <w:color w:val="333333"/>
                <w:sz w:val="21"/>
                <w:szCs w:val="21"/>
              </w:rPr>
            </w:pPr>
            <w:r>
              <w:rPr>
                <w:rFonts w:ascii="Arial" w:eastAsia="Times New Roman" w:hAnsi="Arial" w:cs="Arial"/>
                <w:color w:val="333333"/>
                <w:sz w:val="21"/>
                <w:szCs w:val="21"/>
              </w:rPr>
              <w:t xml:space="preserve">The scenario is designed to promote flexibility in the order of operations, so that additional e-commerce scenarios can be considered (e.g., enroll for a program [or web site account] from a retail location). </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Stakeholders &amp; Interests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Individual</w:t>
            </w:r>
            <w:r>
              <w:rPr>
                <w:rFonts w:ascii="Arial" w:eastAsia="Times New Roman" w:hAnsi="Arial" w:cs="Arial"/>
                <w:color w:val="333333"/>
                <w:sz w:val="21"/>
                <w:szCs w:val="21"/>
              </w:rPr>
              <w:t xml:space="preserve"> – completing a transaction or gaining access to a system</w:t>
            </w:r>
          </w:p>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Relying Party</w:t>
            </w:r>
            <w:r>
              <w:rPr>
                <w:rFonts w:ascii="Arial" w:eastAsia="Times New Roman" w:hAnsi="Arial" w:cs="Arial"/>
                <w:color w:val="333333"/>
                <w:sz w:val="21"/>
                <w:szCs w:val="21"/>
              </w:rPr>
              <w:t xml:space="preserve"> (RP) – prevent identity fraud</w:t>
            </w:r>
          </w:p>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IPP Service Provider</w:t>
            </w:r>
            <w:r>
              <w:rPr>
                <w:rFonts w:ascii="Arial" w:eastAsia="Times New Roman" w:hAnsi="Arial" w:cs="Arial"/>
                <w:color w:val="333333"/>
                <w:sz w:val="21"/>
                <w:szCs w:val="21"/>
              </w:rPr>
              <w:t xml:space="preserve"> (IPP-SP) – provide quality service for a fee</w:t>
            </w:r>
          </w:p>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IPP Clerk</w:t>
            </w:r>
            <w:r>
              <w:rPr>
                <w:rFonts w:ascii="Arial" w:eastAsia="Times New Roman" w:hAnsi="Arial" w:cs="Arial"/>
                <w:color w:val="333333"/>
                <w:sz w:val="21"/>
                <w:szCs w:val="21"/>
              </w:rPr>
              <w:t xml:space="preserve"> – perform duties and protect the stakeholders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Triggers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4131EA" w:rsidRDefault="00A967AC" w:rsidP="000B7478">
            <w:pPr>
              <w:pStyle w:val="ListParagraph"/>
              <w:numPr>
                <w:ilvl w:val="0"/>
                <w:numId w:val="2"/>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R</w:t>
            </w:r>
            <w:r w:rsidR="00297C67">
              <w:rPr>
                <w:rFonts w:ascii="Arial" w:eastAsia="Times New Roman" w:hAnsi="Arial" w:cs="Arial"/>
                <w:color w:val="333333"/>
                <w:sz w:val="21"/>
                <w:szCs w:val="21"/>
              </w:rPr>
              <w:t>elying P</w:t>
            </w:r>
            <w:r w:rsidRPr="004131EA">
              <w:rPr>
                <w:rFonts w:ascii="Arial" w:eastAsia="Times New Roman" w:hAnsi="Arial" w:cs="Arial"/>
                <w:color w:val="333333"/>
                <w:sz w:val="21"/>
                <w:szCs w:val="21"/>
              </w:rPr>
              <w:t>arty</w:t>
            </w:r>
            <w:r w:rsidR="00297C67">
              <w:rPr>
                <w:rFonts w:ascii="Arial" w:eastAsia="Times New Roman" w:hAnsi="Arial" w:cs="Arial"/>
                <w:color w:val="333333"/>
                <w:sz w:val="21"/>
                <w:szCs w:val="21"/>
              </w:rPr>
              <w:t xml:space="preserve"> needs</w:t>
            </w:r>
            <w:r w:rsidRPr="004131EA">
              <w:rPr>
                <w:rFonts w:ascii="Arial" w:eastAsia="Times New Roman" w:hAnsi="Arial" w:cs="Arial"/>
                <w:color w:val="333333"/>
                <w:sz w:val="21"/>
                <w:szCs w:val="21"/>
              </w:rPr>
              <w:t xml:space="preserve"> </w:t>
            </w:r>
            <w:r w:rsidR="005622B3">
              <w:rPr>
                <w:rFonts w:ascii="Arial" w:eastAsia="Times New Roman" w:hAnsi="Arial" w:cs="Arial"/>
                <w:color w:val="333333"/>
                <w:sz w:val="21"/>
                <w:szCs w:val="21"/>
              </w:rPr>
              <w:t>identity proofing</w:t>
            </w:r>
            <w:r w:rsidR="000B7478">
              <w:rPr>
                <w:rFonts w:ascii="Arial" w:eastAsia="Times New Roman" w:hAnsi="Arial" w:cs="Arial"/>
                <w:color w:val="333333"/>
                <w:sz w:val="21"/>
                <w:szCs w:val="21"/>
              </w:rPr>
              <w:t xml:space="preserve"> upon delivery of a shared secret (e.g., mailed code) or physical package (e.g., hardware authenticator) </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Success Guarantees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 xml:space="preserve">An individual has presented themselves in person to </w:t>
            </w:r>
            <w:r w:rsidR="005622B3">
              <w:rPr>
                <w:rFonts w:ascii="Arial" w:eastAsia="Times New Roman" w:hAnsi="Arial" w:cs="Arial"/>
                <w:color w:val="333333"/>
                <w:sz w:val="21"/>
                <w:szCs w:val="21"/>
              </w:rPr>
              <w:t>a C</w:t>
            </w:r>
            <w:r w:rsidRPr="004131EA">
              <w:rPr>
                <w:rFonts w:ascii="Arial" w:eastAsia="Times New Roman" w:hAnsi="Arial" w:cs="Arial"/>
                <w:color w:val="333333"/>
                <w:sz w:val="21"/>
                <w:szCs w:val="21"/>
              </w:rPr>
              <w:t>lerk (i.e., an employee of the IPP service provider)</w:t>
            </w:r>
          </w:p>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The individual has presented evidence of their identity in the form of a government issued photo ID</w:t>
            </w:r>
          </w:p>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The address on the photo ID matches what was provided during initial registration or a secondary document (e.g., lease, mortgage, utility) has been provided</w:t>
            </w:r>
          </w:p>
          <w:p w:rsidR="00A967AC" w:rsidRDefault="005622B3" w:rsidP="00DE2F6D">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The C</w:t>
            </w:r>
            <w:r w:rsidR="00A967AC" w:rsidRPr="004131EA">
              <w:rPr>
                <w:rFonts w:ascii="Arial" w:eastAsia="Times New Roman" w:hAnsi="Arial" w:cs="Arial"/>
                <w:color w:val="333333"/>
                <w:sz w:val="21"/>
                <w:szCs w:val="21"/>
              </w:rPr>
              <w:t>lerk has had some training on spotting fraudulent IDs</w:t>
            </w:r>
            <w:r w:rsidR="00A967AC">
              <w:rPr>
                <w:rFonts w:ascii="Arial" w:eastAsia="Times New Roman" w:hAnsi="Arial" w:cs="Arial"/>
                <w:color w:val="333333"/>
                <w:sz w:val="21"/>
                <w:szCs w:val="21"/>
              </w:rPr>
              <w:t>, photo/person matching,</w:t>
            </w:r>
            <w:r w:rsidR="00A967AC" w:rsidRPr="004131EA">
              <w:rPr>
                <w:rFonts w:ascii="Arial" w:eastAsia="Times New Roman" w:hAnsi="Arial" w:cs="Arial"/>
                <w:color w:val="333333"/>
                <w:sz w:val="21"/>
                <w:szCs w:val="21"/>
              </w:rPr>
              <w:t xml:space="preserve"> and suspicious behavior </w:t>
            </w:r>
          </w:p>
          <w:p w:rsidR="00A967AC" w:rsidRPr="004131EA" w:rsidRDefault="00A967AC" w:rsidP="000B7478">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 xml:space="preserve">An enrollment code has linked the </w:t>
            </w:r>
            <w:r w:rsidR="000B7478">
              <w:rPr>
                <w:rFonts w:ascii="Arial" w:eastAsia="Times New Roman" w:hAnsi="Arial" w:cs="Arial"/>
                <w:color w:val="333333"/>
                <w:sz w:val="21"/>
                <w:szCs w:val="21"/>
              </w:rPr>
              <w:t xml:space="preserve">mail/package delivery </w:t>
            </w:r>
            <w:r>
              <w:rPr>
                <w:rFonts w:ascii="Arial" w:eastAsia="Times New Roman" w:hAnsi="Arial" w:cs="Arial"/>
                <w:color w:val="333333"/>
                <w:sz w:val="21"/>
                <w:szCs w:val="21"/>
              </w:rPr>
              <w:t>with the IPP event</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Minimum Guarantees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The process cannot be automated by an attacker (a human must present themselves).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lastRenderedPageBreak/>
              <w:t>Primary Actor</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Individual / IPP Clerk</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Preconditions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The individual has a photo ID and evidence of current address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Main Success Scenario</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Default="00A967AC" w:rsidP="00DE2F6D">
            <w:pPr>
              <w:pStyle w:val="ListParagraph"/>
              <w:numPr>
                <w:ilvl w:val="0"/>
                <w:numId w:val="4"/>
              </w:numPr>
              <w:spacing w:before="150"/>
              <w:rPr>
                <w:rFonts w:ascii="Arial" w:eastAsia="Times New Roman" w:hAnsi="Arial" w:cs="Arial"/>
                <w:color w:val="333333"/>
                <w:sz w:val="21"/>
                <w:szCs w:val="21"/>
              </w:rPr>
            </w:pPr>
            <w:r w:rsidRPr="00FB7422">
              <w:rPr>
                <w:rFonts w:ascii="Arial" w:eastAsia="Times New Roman" w:hAnsi="Arial" w:cs="Arial"/>
                <w:color w:val="333333"/>
                <w:sz w:val="21"/>
                <w:szCs w:val="21"/>
              </w:rPr>
              <w:t xml:space="preserve">RP </w:t>
            </w:r>
            <w:r w:rsidR="005622B3">
              <w:rPr>
                <w:rFonts w:ascii="Arial" w:eastAsia="Times New Roman" w:hAnsi="Arial" w:cs="Arial"/>
                <w:color w:val="333333"/>
                <w:sz w:val="21"/>
                <w:szCs w:val="21"/>
              </w:rPr>
              <w:t xml:space="preserve">application </w:t>
            </w:r>
            <w:r w:rsidRPr="00FB7422">
              <w:rPr>
                <w:rFonts w:ascii="Arial" w:eastAsia="Times New Roman" w:hAnsi="Arial" w:cs="Arial"/>
                <w:color w:val="333333"/>
                <w:sz w:val="21"/>
                <w:szCs w:val="21"/>
              </w:rPr>
              <w:t>collects name, address, email (flexible) from the Individual to uniquely resolve the claimed identity [upon their return | against records if needed].</w:t>
            </w:r>
          </w:p>
          <w:p w:rsidR="00C75E1B" w:rsidRDefault="00C75E1B" w:rsidP="00C75E1B">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RP connects to IPP-SP and provides identity information in exchange for an enrollment barcode</w:t>
            </w:r>
          </w:p>
          <w:p w:rsidR="00C75E1B" w:rsidRDefault="00C75E1B" w:rsidP="00C75E1B">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RP includes a special label on the package indicating identity proofing is required and including the enrollment barcode</w:t>
            </w:r>
          </w:p>
          <w:p w:rsidR="00C75E1B" w:rsidRDefault="00C75E1B" w:rsidP="00C75E1B">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Clerk presents themselves to the Individual or vice versa</w:t>
            </w:r>
          </w:p>
          <w:p w:rsidR="00C75E1B" w:rsidRDefault="00C75E1B" w:rsidP="00C75E1B">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Clerk informs the Individual that identity proofing is required prior to receipt</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 xml:space="preserve">The Individual presents their photo ID to the IPP Clerk </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 Clerk inspects the Photo ID for signs of forgery</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 Clerk compares the Individual to the photo in the ID to make sure it is the same person</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 Clerk records the Photo ID information such as name and address with the IPP-SP</w:t>
            </w:r>
          </w:p>
          <w:p w:rsidR="00A967AC" w:rsidRPr="00143479" w:rsidRDefault="00A967AC" w:rsidP="00C75E1B">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 xml:space="preserve">The IPP-SP </w:t>
            </w:r>
            <w:r w:rsidR="00C75E1B">
              <w:rPr>
                <w:rFonts w:ascii="Arial" w:eastAsia="Times New Roman" w:hAnsi="Arial" w:cs="Arial"/>
                <w:color w:val="333333"/>
                <w:sz w:val="21"/>
                <w:szCs w:val="21"/>
              </w:rPr>
              <w:t xml:space="preserve">sends the </w:t>
            </w:r>
            <w:r w:rsidR="005622B3">
              <w:rPr>
                <w:rFonts w:ascii="Arial" w:eastAsia="Times New Roman" w:hAnsi="Arial" w:cs="Arial"/>
                <w:color w:val="333333"/>
                <w:sz w:val="21"/>
                <w:szCs w:val="21"/>
              </w:rPr>
              <w:t xml:space="preserve">details </w:t>
            </w:r>
            <w:r w:rsidR="00C75E1B">
              <w:rPr>
                <w:rFonts w:ascii="Arial" w:eastAsia="Times New Roman" w:hAnsi="Arial" w:cs="Arial"/>
                <w:color w:val="333333"/>
                <w:sz w:val="21"/>
                <w:szCs w:val="21"/>
              </w:rPr>
              <w:t xml:space="preserve">of </w:t>
            </w:r>
            <w:r w:rsidR="005622B3">
              <w:rPr>
                <w:rFonts w:ascii="Arial" w:eastAsia="Times New Roman" w:hAnsi="Arial" w:cs="Arial"/>
                <w:color w:val="333333"/>
                <w:sz w:val="21"/>
                <w:szCs w:val="21"/>
              </w:rPr>
              <w:t>the identity proofing event</w:t>
            </w:r>
            <w:r w:rsidR="00C75E1B">
              <w:rPr>
                <w:rFonts w:ascii="Arial" w:eastAsia="Times New Roman" w:hAnsi="Arial" w:cs="Arial"/>
                <w:color w:val="333333"/>
                <w:sz w:val="21"/>
                <w:szCs w:val="21"/>
              </w:rPr>
              <w:t xml:space="preserve"> and enrollment barcode to the RP</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pPr>
              <w:autoSpaceDE w:val="0"/>
              <w:autoSpaceDN w:val="0"/>
              <w:adjustRightInd w:val="0"/>
              <w:rPr>
                <w:rFonts w:ascii="ArialMT" w:hAnsi="ArialMT" w:cs="ArialMT"/>
                <w:sz w:val="24"/>
                <w:szCs w:val="24"/>
              </w:rPr>
            </w:pPr>
            <w:r w:rsidRPr="00DD5E71">
              <w:rPr>
                <w:rFonts w:ascii="ArialMT" w:hAnsi="ArialMT" w:cs="ArialMT"/>
                <w:sz w:val="24"/>
                <w:szCs w:val="24"/>
              </w:rPr>
              <w:t>Resolution</w:t>
            </w:r>
            <w:r>
              <w:rPr>
                <w:rFonts w:ascii="ArialMT" w:hAnsi="ArialMT" w:cs="ArialMT"/>
                <w:sz w:val="24"/>
                <w:szCs w:val="24"/>
              </w:rPr>
              <w:t xml:space="preserve"> </w:t>
            </w:r>
            <w:r>
              <w:rPr>
                <w:rFonts w:ascii="ArialMT" w:hAnsi="ArialMT" w:cs="ArialMT"/>
                <w:sz w:val="24"/>
                <w:szCs w:val="24"/>
              </w:rPr>
              <w:br/>
              <w:t>(SP 800-63)</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Name, address, and other identifying information (e.g., email) is collected and used to uniquely identify the Individual.</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pPr>
              <w:autoSpaceDE w:val="0"/>
              <w:autoSpaceDN w:val="0"/>
              <w:adjustRightInd w:val="0"/>
              <w:rPr>
                <w:rFonts w:ascii="ArialMT" w:hAnsi="ArialMT" w:cs="ArialMT"/>
                <w:sz w:val="24"/>
                <w:szCs w:val="24"/>
              </w:rPr>
            </w:pPr>
            <w:r w:rsidRPr="00DD5E71">
              <w:rPr>
                <w:rFonts w:ascii="ArialMT" w:hAnsi="ArialMT" w:cs="ArialMT"/>
                <w:sz w:val="24"/>
                <w:szCs w:val="24"/>
              </w:rPr>
              <w:t xml:space="preserve">Evidence </w:t>
            </w:r>
            <w:r>
              <w:rPr>
                <w:rFonts w:ascii="ArialMT" w:hAnsi="ArialMT" w:cs="ArialMT"/>
                <w:sz w:val="24"/>
                <w:szCs w:val="24"/>
              </w:rPr>
              <w:b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The Individual’s photo ID is collected and examined by the IPP Clerk. A secondary form of identification can be used for proof of current address.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r w:rsidRPr="00DD5E71">
              <w:rPr>
                <w:rFonts w:ascii="ArialMT" w:hAnsi="ArialMT" w:cs="ArialMT"/>
                <w:sz w:val="24"/>
                <w:szCs w:val="24"/>
              </w:rPr>
              <w:t>Validation</w:t>
            </w:r>
            <w:r>
              <w:rPr>
                <w:rFonts w:ascii="ArialMT" w:hAnsi="ArialMT" w:cs="ArialMT"/>
                <w:sz w:val="24"/>
                <w:szCs w:val="24"/>
              </w:rPr>
              <w:t xml:space="preserve"> </w:t>
            </w:r>
            <w:r>
              <w:rPr>
                <w:rFonts w:ascii="ArialMT" w:hAnsi="ArialMT" w:cs="ArialMT"/>
                <w:sz w:val="24"/>
                <w:szCs w:val="24"/>
              </w:rPr>
              <w:b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The IPP Clerk inspects the ID for security features and signs of forgery.</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MT" w:hAnsi="ArialMT" w:cs="ArialMT"/>
                <w:sz w:val="24"/>
                <w:szCs w:val="24"/>
              </w:rPr>
            </w:pPr>
            <w:r>
              <w:rPr>
                <w:rFonts w:ascii="ArialMT" w:hAnsi="ArialMT" w:cs="ArialMT"/>
                <w:sz w:val="24"/>
                <w:szCs w:val="24"/>
              </w:rPr>
              <w:t>Verification</w:t>
            </w:r>
          </w:p>
          <w:p w:rsidR="00A967AC" w:rsidRPr="00DD5E71" w:rsidRDefault="00A967AC" w:rsidP="00DE2F6D">
            <w:pPr>
              <w:rPr>
                <w:rFonts w:ascii="ArialMT" w:hAnsi="ArialMT" w:cs="ArialMT"/>
                <w:sz w:val="24"/>
                <w:szCs w:val="24"/>
              </w:rPr>
            </w:pPr>
            <w:r>
              <w:rPr>
                <w:rFonts w:ascii="ArialMT" w:hAnsi="ArialMT" w:cs="ArialMT"/>
                <w:sz w:val="24"/>
                <w:szCs w:val="24"/>
              </w:rP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The IPP Clerk ensures the person in front of them is the same person on the photo ID.</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MT" w:hAnsi="ArialMT" w:cs="ArialMT"/>
                <w:sz w:val="24"/>
                <w:szCs w:val="24"/>
              </w:rPr>
            </w:pPr>
            <w:r>
              <w:rPr>
                <w:rFonts w:ascii="ArialMT" w:hAnsi="ArialMT" w:cs="ArialMT"/>
                <w:sz w:val="24"/>
                <w:szCs w:val="24"/>
              </w:rPr>
              <w:t>Address Confirmation</w:t>
            </w:r>
          </w:p>
          <w:p w:rsidR="00A967AC" w:rsidRDefault="00A967AC" w:rsidP="00DE2F6D">
            <w:pPr>
              <w:rPr>
                <w:rFonts w:ascii="ArialMT" w:hAnsi="ArialMT" w:cs="ArialMT"/>
                <w:sz w:val="24"/>
                <w:szCs w:val="24"/>
              </w:rPr>
            </w:pPr>
            <w:r>
              <w:rPr>
                <w:rFonts w:ascii="ArialMT" w:hAnsi="ArialMT" w:cs="ArialMT"/>
                <w:sz w:val="24"/>
                <w:szCs w:val="24"/>
              </w:rP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C7468D">
            <w:pPr>
              <w:rPr>
                <w:rFonts w:ascii="Arial" w:eastAsia="Times New Roman" w:hAnsi="Arial" w:cs="Arial"/>
                <w:color w:val="333333"/>
                <w:sz w:val="21"/>
                <w:szCs w:val="21"/>
              </w:rPr>
            </w:pPr>
            <w:r w:rsidRPr="00C7468D">
              <w:rPr>
                <w:rFonts w:ascii="Arial" w:eastAsia="Times New Roman" w:hAnsi="Arial" w:cs="Arial"/>
                <w:color w:val="333333"/>
                <w:sz w:val="21"/>
                <w:szCs w:val="21"/>
              </w:rPr>
              <w:t>A notice can be mailed to the current address determined during IPP</w:t>
            </w:r>
            <w:r w:rsidR="00C7468D">
              <w:rPr>
                <w:rFonts w:ascii="Arial" w:eastAsia="Times New Roman" w:hAnsi="Arial" w:cs="Arial"/>
                <w:color w:val="333333"/>
                <w:sz w:val="21"/>
                <w:szCs w:val="21"/>
              </w:rPr>
              <w:t xml:space="preserve"> or another address on record.</w:t>
            </w:r>
          </w:p>
          <w:p w:rsidR="009223C9" w:rsidRPr="00C7468D" w:rsidRDefault="009223C9" w:rsidP="00C7468D">
            <w:pPr>
              <w:rPr>
                <w:rFonts w:ascii="Arial" w:eastAsia="Times New Roman" w:hAnsi="Arial" w:cs="Arial"/>
                <w:color w:val="333333"/>
                <w:sz w:val="21"/>
                <w:szCs w:val="21"/>
              </w:rPr>
            </w:pPr>
            <w:r>
              <w:rPr>
                <w:rFonts w:ascii="Arial" w:eastAsia="Times New Roman" w:hAnsi="Arial" w:cs="Arial"/>
                <w:color w:val="333333"/>
                <w:sz w:val="21"/>
                <w:szCs w:val="21"/>
              </w:rPr>
              <w:t>The IPP event can also occur at the address of record</w:t>
            </w:r>
            <w:r w:rsidR="003E34A9">
              <w:rPr>
                <w:rFonts w:ascii="Arial" w:eastAsia="Times New Roman" w:hAnsi="Arial" w:cs="Arial"/>
                <w:color w:val="333333"/>
                <w:sz w:val="21"/>
                <w:szCs w:val="21"/>
              </w:rPr>
              <w:t>.</w:t>
            </w:r>
          </w:p>
        </w:tc>
      </w:tr>
    </w:tbl>
    <w:p w:rsidR="00143479" w:rsidRPr="00A967AC" w:rsidRDefault="00143479" w:rsidP="00A967AC"/>
    <w:sectPr w:rsidR="00143479" w:rsidRPr="00A9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2BC4"/>
    <w:multiLevelType w:val="hybridMultilevel"/>
    <w:tmpl w:val="80F8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F123BB"/>
    <w:multiLevelType w:val="hybridMultilevel"/>
    <w:tmpl w:val="D9E6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432E12"/>
    <w:multiLevelType w:val="hybridMultilevel"/>
    <w:tmpl w:val="5994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872002"/>
    <w:multiLevelType w:val="hybridMultilevel"/>
    <w:tmpl w:val="E548903C"/>
    <w:lvl w:ilvl="0" w:tplc="2B14047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1B4372"/>
    <w:multiLevelType w:val="hybridMultilevel"/>
    <w:tmpl w:val="5448E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10"/>
    <w:rsid w:val="000912AD"/>
    <w:rsid w:val="000B7478"/>
    <w:rsid w:val="00143479"/>
    <w:rsid w:val="00246138"/>
    <w:rsid w:val="00297C67"/>
    <w:rsid w:val="003E0EFC"/>
    <w:rsid w:val="003E34A9"/>
    <w:rsid w:val="004131EA"/>
    <w:rsid w:val="00423032"/>
    <w:rsid w:val="004308EA"/>
    <w:rsid w:val="0047515A"/>
    <w:rsid w:val="005622B3"/>
    <w:rsid w:val="005D4C08"/>
    <w:rsid w:val="00647303"/>
    <w:rsid w:val="00665B2C"/>
    <w:rsid w:val="006E4F30"/>
    <w:rsid w:val="00844489"/>
    <w:rsid w:val="009223C9"/>
    <w:rsid w:val="00940042"/>
    <w:rsid w:val="00A967AC"/>
    <w:rsid w:val="00C7468D"/>
    <w:rsid w:val="00C75E1B"/>
    <w:rsid w:val="00E26BE0"/>
    <w:rsid w:val="00E728D1"/>
    <w:rsid w:val="00F65BAA"/>
    <w:rsid w:val="00FB7422"/>
    <w:rsid w:val="00FE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8F0AD-A168-42E6-B876-92EE0E7F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210"/>
    <w:pPr>
      <w:spacing w:before="150"/>
    </w:pPr>
    <w:rPr>
      <w:rFonts w:ascii="Times New Roman" w:eastAsia="Times New Roman" w:hAnsi="Times New Roman" w:cs="Times New Roman"/>
      <w:sz w:val="24"/>
      <w:szCs w:val="24"/>
    </w:rPr>
  </w:style>
  <w:style w:type="paragraph" w:styleId="ListParagraph">
    <w:name w:val="List Paragraph"/>
    <w:basedOn w:val="Normal"/>
    <w:uiPriority w:val="34"/>
    <w:qFormat/>
    <w:rsid w:val="0041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72690">
      <w:bodyDiv w:val="1"/>
      <w:marLeft w:val="0"/>
      <w:marRight w:val="0"/>
      <w:marTop w:val="0"/>
      <w:marBottom w:val="0"/>
      <w:divBdr>
        <w:top w:val="none" w:sz="0" w:space="0" w:color="auto"/>
        <w:left w:val="none" w:sz="0" w:space="0" w:color="auto"/>
        <w:bottom w:val="none" w:sz="0" w:space="0" w:color="auto"/>
        <w:right w:val="none" w:sz="0" w:space="0" w:color="auto"/>
      </w:divBdr>
      <w:divsChild>
        <w:div w:id="1171287569">
          <w:marLeft w:val="0"/>
          <w:marRight w:val="0"/>
          <w:marTop w:val="0"/>
          <w:marBottom w:val="0"/>
          <w:divBdr>
            <w:top w:val="none" w:sz="0" w:space="0" w:color="auto"/>
            <w:left w:val="none" w:sz="0" w:space="0" w:color="auto"/>
            <w:bottom w:val="none" w:sz="0" w:space="0" w:color="auto"/>
            <w:right w:val="none" w:sz="0" w:space="0" w:color="auto"/>
          </w:divBdr>
          <w:divsChild>
            <w:div w:id="1110248474">
              <w:marLeft w:val="0"/>
              <w:marRight w:val="0"/>
              <w:marTop w:val="0"/>
              <w:marBottom w:val="0"/>
              <w:divBdr>
                <w:top w:val="none" w:sz="0" w:space="0" w:color="auto"/>
                <w:left w:val="none" w:sz="0" w:space="0" w:color="auto"/>
                <w:bottom w:val="none" w:sz="0" w:space="0" w:color="auto"/>
                <w:right w:val="none" w:sz="0" w:space="0" w:color="auto"/>
              </w:divBdr>
              <w:divsChild>
                <w:div w:id="455880656">
                  <w:marLeft w:val="0"/>
                  <w:marRight w:val="0"/>
                  <w:marTop w:val="0"/>
                  <w:marBottom w:val="0"/>
                  <w:divBdr>
                    <w:top w:val="none" w:sz="0" w:space="0" w:color="auto"/>
                    <w:left w:val="none" w:sz="0" w:space="0" w:color="auto"/>
                    <w:bottom w:val="none" w:sz="0" w:space="0" w:color="auto"/>
                    <w:right w:val="none" w:sz="0" w:space="0" w:color="auto"/>
                  </w:divBdr>
                  <w:divsChild>
                    <w:div w:id="1282809772">
                      <w:marLeft w:val="4275"/>
                      <w:marRight w:val="0"/>
                      <w:marTop w:val="615"/>
                      <w:marBottom w:val="0"/>
                      <w:divBdr>
                        <w:top w:val="none" w:sz="0" w:space="0" w:color="auto"/>
                        <w:left w:val="none" w:sz="0" w:space="0" w:color="auto"/>
                        <w:bottom w:val="none" w:sz="0" w:space="0" w:color="auto"/>
                        <w:right w:val="none" w:sz="0" w:space="0" w:color="auto"/>
                      </w:divBdr>
                      <w:divsChild>
                        <w:div w:id="1288122356">
                          <w:marLeft w:val="0"/>
                          <w:marRight w:val="0"/>
                          <w:marTop w:val="0"/>
                          <w:marBottom w:val="0"/>
                          <w:divBdr>
                            <w:top w:val="none" w:sz="0" w:space="0" w:color="auto"/>
                            <w:left w:val="none" w:sz="0" w:space="0" w:color="auto"/>
                            <w:bottom w:val="none" w:sz="0" w:space="0" w:color="auto"/>
                            <w:right w:val="none" w:sz="0" w:space="0" w:color="auto"/>
                          </w:divBdr>
                          <w:divsChild>
                            <w:div w:id="672683179">
                              <w:marLeft w:val="0"/>
                              <w:marRight w:val="0"/>
                              <w:marTop w:val="0"/>
                              <w:marBottom w:val="0"/>
                              <w:divBdr>
                                <w:top w:val="none" w:sz="0" w:space="0" w:color="auto"/>
                                <w:left w:val="none" w:sz="0" w:space="0" w:color="auto"/>
                                <w:bottom w:val="none" w:sz="0" w:space="0" w:color="auto"/>
                                <w:right w:val="none" w:sz="0" w:space="0" w:color="auto"/>
                              </w:divBdr>
                              <w:divsChild>
                                <w:div w:id="1671134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Terence W - Washington, DC - Contractor</dc:creator>
  <cp:keywords/>
  <dc:description/>
  <cp:lastModifiedBy>Mcbride, Terence W - Washington, DC - Contractor</cp:lastModifiedBy>
  <cp:revision>7</cp:revision>
  <dcterms:created xsi:type="dcterms:W3CDTF">2019-01-28T19:04:00Z</dcterms:created>
  <dcterms:modified xsi:type="dcterms:W3CDTF">2019-01-28T20:05:00Z</dcterms:modified>
</cp:coreProperties>
</file>