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22"/>
      </w:tblGrid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Heading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Description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5622B3" w:rsidP="00DE2F6D">
            <w:pPr>
              <w:spacing w:before="150"/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Scope / </w:t>
            </w:r>
            <w:r w:rsidR="00A967AC" w:rsidRPr="00A967AC"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>Use Case Class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A967AC" w:rsidP="00DE2F6D">
            <w:pPr>
              <w:spacing w:before="150"/>
              <w:rPr>
                <w:b/>
                <w:color w:val="7030A0"/>
              </w:rPr>
            </w:pPr>
            <w:r w:rsidRPr="00A967AC">
              <w:rPr>
                <w:b/>
                <w:color w:val="7030A0"/>
              </w:rPr>
              <w:t>Identity Proofing</w:t>
            </w:r>
            <w:r w:rsidR="007B03A2">
              <w:rPr>
                <w:b/>
                <w:color w:val="7030A0"/>
              </w:rPr>
              <w:t xml:space="preserve"> (In-Person)</w:t>
            </w:r>
            <w:bookmarkStart w:id="0" w:name="_GoBack"/>
            <w:bookmarkEnd w:id="0"/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A967AC" w:rsidP="00DE2F6D">
            <w:pPr>
              <w:spacing w:before="150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967A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Use Case Name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5622B3" w:rsidP="005622B3">
            <w:pPr>
              <w:spacing w:before="150"/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</w:pPr>
            <w:r w:rsidRPr="005622B3"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  <w:t>IPP as a Service (IPPaaS) Variant</w:t>
            </w:r>
            <w:r w:rsidR="00423032"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  <w:t>:</w:t>
            </w:r>
            <w:r w:rsidRPr="005622B3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r w:rsidR="00297C67">
              <w:rPr>
                <w:b/>
                <w:color w:val="0070C0"/>
              </w:rPr>
              <w:t>Sender ID Proofing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Context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297C67" w:rsidP="00297C6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An Individual completes an 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enrollment application requiring identity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proofing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goes to their local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Post Office 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where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Clerk 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inspects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their photo ID, and secondary documents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for proof of current address (if needed).  The C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lerk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examines 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documents, completes the IPP event, and accepts their paperwork. The identity proofing event is recorded in USPS systems and a retrieval code is assigned that is included in the package by USPS.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Relying Party (RP) </w:t>
            </w:r>
            <w:r w:rsidRP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organization can view the results of the identity proofing event using the code for a limited period of time and limited number of uses.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The RP can then bind authenticators to the Individual and deliver them through Address Confirmation or other out of band mechanism.</w:t>
            </w:r>
          </w:p>
          <w:p w:rsidR="005622B3" w:rsidRDefault="005622B3" w:rsidP="00297C6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5622B3" w:rsidRPr="00FE3210" w:rsidRDefault="005622B3" w:rsidP="005622B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scenario is designed to promote flexibility in the order of operations, so that additional e-commerce scenarios can be considered (e.g., enroll for a program [or web site account] from a retail location).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Stakeholders &amp; Interests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completing a transaction or gaining access to a system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Relying Party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(RP) – prevent identity fraud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IPP Service Provider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(IPP-SP) – provide quality service for a fee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IPP Clerk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perform duties and protect the stakeholders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Triggers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2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</w:t>
            </w:r>
            <w:r w:rsid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needs to send original hard copies or a package</w:t>
            </w:r>
          </w:p>
          <w:p w:rsidR="00A967AC" w:rsidRPr="004131EA" w:rsidRDefault="00A967AC" w:rsidP="005622B3">
            <w:pPr>
              <w:pStyle w:val="ListParagraph"/>
              <w:numPr>
                <w:ilvl w:val="0"/>
                <w:numId w:val="2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</w:t>
            </w:r>
            <w:r w:rsid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elying P</w:t>
            </w: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arty</w:t>
            </w:r>
            <w:r w:rsid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needs</w:t>
            </w: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5622B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identity proofing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Success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An individual has presented themselves in person to </w:t>
            </w:r>
            <w:r w:rsidR="005622B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C</w:t>
            </w: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lerk (i.e., an employee of the IPP service provider)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has presented evidence of their identity in the form of a government issued photo ID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address on the photo ID matches what was provided during initial registration or a secondary document (e.g., lease, mortgage, utility) has been provided</w:t>
            </w:r>
          </w:p>
          <w:p w:rsidR="00A967AC" w:rsidRDefault="005622B3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C</w:t>
            </w:r>
            <w:r w:rsidR="00A967AC"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lerk has had some training on spotting fraudulent IDs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photo/person matching,</w:t>
            </w:r>
            <w:r w:rsidR="00A967AC"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suspicious behavior </w:t>
            </w:r>
          </w:p>
          <w:p w:rsidR="00A967AC" w:rsidRPr="004131EA" w:rsidRDefault="00A967AC" w:rsidP="00E02BD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An enrollment code has linked the </w:t>
            </w:r>
            <w:r w:rsidR="00E02B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application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with the IPP event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Minimum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process cannot be automated by an attacker (a human must present themselves).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Primary Actor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 / IPP Clerk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Preconditions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has a photo ID and evidence of current address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Main Success Scenario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B742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RP </w:t>
            </w:r>
            <w:r w:rsidR="005622B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application </w:t>
            </w:r>
            <w:r w:rsidRPr="00FB742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collects name, address, email (flexible) from the Individual to uniquely resolve the claimed identity [upon their return | against records if needed].</w:t>
            </w:r>
          </w:p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</w:t>
            </w:r>
            <w:r w:rsidR="005622B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presents completed application / package</w:t>
            </w:r>
          </w:p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 presents their photo ID to the IPP Clerk </w:t>
            </w:r>
          </w:p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IPP Clerk inspects the Photo ID for signs of forgery</w:t>
            </w:r>
          </w:p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IPP Clerk compares the Individual to the photo in the ID to make sure it is the same person</w:t>
            </w:r>
          </w:p>
          <w:p w:rsidR="00A967AC" w:rsidRDefault="00A967AC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IPP Clerk records the Photo ID information such as name and address with the IPP-SP</w:t>
            </w:r>
          </w:p>
          <w:p w:rsidR="005622B3" w:rsidRDefault="00A967AC" w:rsidP="005622B3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IPP-SP </w:t>
            </w:r>
            <w:r w:rsidR="005622B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assigns an enrollment code, attaches it to the package, and provides it to the Individual as receipt</w:t>
            </w:r>
          </w:p>
          <w:p w:rsidR="00A967AC" w:rsidRPr="00143479" w:rsidRDefault="005622B3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RP receives the packages and uses the enr</w:t>
            </w:r>
            <w:r w:rsidR="00E02B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ollment code to obtain details o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 the identity proofing event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>Resolution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Name, address, and other identifying information (e.g., email) is collected and used to uniquely identify the Individual.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 xml:space="preserve">Evidence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Individual’s photo ID is collected and examined by the IPP Clerk. A secondary form of identification can be used for proof of current address.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r w:rsidRPr="00DD5E71">
              <w:rPr>
                <w:rFonts w:ascii="ArialMT" w:hAnsi="ArialMT" w:cs="ArialMT"/>
                <w:sz w:val="24"/>
                <w:szCs w:val="24"/>
              </w:rPr>
              <w:t>Validation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IPP Clerk inspects the ID for security features and signs of forgery.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Verification</w:t>
            </w:r>
          </w:p>
          <w:p w:rsidR="00A967AC" w:rsidRPr="00DD5E71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IPP Clerk ensures the person in front of them is the same person on the photo ID.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Address Confirmation</w:t>
            </w:r>
          </w:p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C7468D" w:rsidRDefault="00A967AC" w:rsidP="00C7468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68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notice can be mailed to the current address determined during IPP</w:t>
            </w:r>
            <w:r w:rsidR="00C7468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or another address on record.</w:t>
            </w:r>
          </w:p>
        </w:tc>
      </w:tr>
    </w:tbl>
    <w:p w:rsidR="00143479" w:rsidRPr="00A967AC" w:rsidRDefault="00143479" w:rsidP="00A967AC"/>
    <w:sectPr w:rsidR="00143479" w:rsidRPr="00A9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BC4"/>
    <w:multiLevelType w:val="hybridMultilevel"/>
    <w:tmpl w:val="80F8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123BB"/>
    <w:multiLevelType w:val="hybridMultilevel"/>
    <w:tmpl w:val="D9E6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32E12"/>
    <w:multiLevelType w:val="hybridMultilevel"/>
    <w:tmpl w:val="5994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2002"/>
    <w:multiLevelType w:val="hybridMultilevel"/>
    <w:tmpl w:val="E548903C"/>
    <w:lvl w:ilvl="0" w:tplc="2B140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B4372"/>
    <w:multiLevelType w:val="hybridMultilevel"/>
    <w:tmpl w:val="5448E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0"/>
    <w:rsid w:val="000912AD"/>
    <w:rsid w:val="00143479"/>
    <w:rsid w:val="00297C67"/>
    <w:rsid w:val="003E0EFC"/>
    <w:rsid w:val="004131EA"/>
    <w:rsid w:val="00423032"/>
    <w:rsid w:val="004308EA"/>
    <w:rsid w:val="0047515A"/>
    <w:rsid w:val="005622B3"/>
    <w:rsid w:val="005D4C08"/>
    <w:rsid w:val="00647303"/>
    <w:rsid w:val="00665B2C"/>
    <w:rsid w:val="006E4F30"/>
    <w:rsid w:val="007B03A2"/>
    <w:rsid w:val="00844489"/>
    <w:rsid w:val="00A967AC"/>
    <w:rsid w:val="00C7468D"/>
    <w:rsid w:val="00E02BDD"/>
    <w:rsid w:val="00E26BE0"/>
    <w:rsid w:val="00E728D1"/>
    <w:rsid w:val="00F65BAA"/>
    <w:rsid w:val="00FB7422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F0AD-A168-42E6-B876-92EE0E7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10"/>
    <w:pPr>
      <w:spacing w:before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77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Terence W - Washington, DC - Contractor</dc:creator>
  <cp:keywords/>
  <dc:description/>
  <cp:lastModifiedBy>Mcbride, Terence W - Washington, DC - Contractor</cp:lastModifiedBy>
  <cp:revision>7</cp:revision>
  <dcterms:created xsi:type="dcterms:W3CDTF">2019-01-28T18:44:00Z</dcterms:created>
  <dcterms:modified xsi:type="dcterms:W3CDTF">2019-01-28T20:05:00Z</dcterms:modified>
</cp:coreProperties>
</file>