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422"/>
        <w:gridCol w:w="6922"/>
      </w:tblGrid>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05" w:type="dxa"/>
              <w:left w:w="150" w:type="dxa"/>
              <w:bottom w:w="105" w:type="dxa"/>
              <w:right w:w="150" w:type="dxa"/>
            </w:tcMar>
          </w:tcPr>
          <w:p w:rsidR="00A967AC" w:rsidRPr="00FE3210" w:rsidRDefault="00A967AC" w:rsidP="00DE2F6D">
            <w:pPr>
              <w:spacing w:before="150"/>
              <w:jc w:val="center"/>
              <w:rPr>
                <w:rFonts w:ascii="Arial" w:eastAsia="Times New Roman" w:hAnsi="Arial" w:cs="Arial"/>
                <w:b/>
                <w:color w:val="333333"/>
                <w:sz w:val="21"/>
                <w:szCs w:val="21"/>
              </w:rPr>
            </w:pPr>
            <w:r w:rsidRPr="00FE3210">
              <w:rPr>
                <w:rFonts w:ascii="Arial" w:eastAsia="Times New Roman" w:hAnsi="Arial" w:cs="Arial"/>
                <w:b/>
                <w:color w:val="333333"/>
                <w:sz w:val="21"/>
                <w:szCs w:val="21"/>
              </w:rPr>
              <w:t>Heading</w:t>
            </w:r>
          </w:p>
        </w:tc>
        <w:tc>
          <w:tcPr>
            <w:tcW w:w="692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05" w:type="dxa"/>
              <w:left w:w="150" w:type="dxa"/>
              <w:bottom w:w="105" w:type="dxa"/>
              <w:right w:w="150" w:type="dxa"/>
            </w:tcMar>
          </w:tcPr>
          <w:p w:rsidR="00A967AC" w:rsidRPr="00FE3210" w:rsidRDefault="00A967AC" w:rsidP="00DE2F6D">
            <w:pPr>
              <w:spacing w:before="150"/>
              <w:rPr>
                <w:rFonts w:ascii="Arial" w:eastAsia="Times New Roman" w:hAnsi="Arial" w:cs="Arial"/>
                <w:b/>
                <w:color w:val="333333"/>
                <w:sz w:val="21"/>
                <w:szCs w:val="21"/>
              </w:rPr>
            </w:pPr>
            <w:r w:rsidRPr="00FE3210">
              <w:rPr>
                <w:rFonts w:ascii="Arial" w:eastAsia="Times New Roman" w:hAnsi="Arial" w:cs="Arial"/>
                <w:b/>
                <w:color w:val="333333"/>
                <w:sz w:val="21"/>
                <w:szCs w:val="21"/>
              </w:rPr>
              <w:t>Description</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A967AC" w:rsidRDefault="00A967AC" w:rsidP="00DE2F6D">
            <w:pPr>
              <w:spacing w:before="150"/>
              <w:rPr>
                <w:rFonts w:ascii="Arial" w:eastAsia="Times New Roman" w:hAnsi="Arial" w:cs="Arial"/>
                <w:color w:val="7030A0"/>
                <w:sz w:val="21"/>
                <w:szCs w:val="21"/>
              </w:rPr>
            </w:pPr>
            <w:r w:rsidRPr="00A967AC">
              <w:rPr>
                <w:rFonts w:ascii="Arial" w:eastAsia="Times New Roman" w:hAnsi="Arial" w:cs="Arial"/>
                <w:color w:val="7030A0"/>
                <w:sz w:val="21"/>
                <w:szCs w:val="21"/>
              </w:rPr>
              <w:t>Use Case Class</w:t>
            </w:r>
            <w:r w:rsidR="000C3AEA">
              <w:rPr>
                <w:rFonts w:ascii="Arial" w:eastAsia="Times New Roman" w:hAnsi="Arial" w:cs="Arial"/>
                <w:color w:val="7030A0"/>
                <w:sz w:val="21"/>
                <w:szCs w:val="21"/>
              </w:rPr>
              <w:t xml:space="preserve"> / Scope</w:t>
            </w:r>
            <w:bookmarkStart w:id="0" w:name="_GoBack"/>
            <w:bookmarkEnd w:id="0"/>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A967AC" w:rsidRDefault="00A967AC" w:rsidP="00DE2F6D">
            <w:pPr>
              <w:spacing w:before="150"/>
              <w:rPr>
                <w:b/>
                <w:color w:val="7030A0"/>
              </w:rPr>
            </w:pPr>
            <w:r w:rsidRPr="00A967AC">
              <w:rPr>
                <w:b/>
                <w:color w:val="7030A0"/>
              </w:rPr>
              <w:t>Identity Proofing</w:t>
            </w:r>
            <w:r w:rsidR="000C3AEA">
              <w:rPr>
                <w:b/>
                <w:color w:val="7030A0"/>
              </w:rPr>
              <w:t xml:space="preserve"> (In-Person)</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A967AC" w:rsidRDefault="00A967AC" w:rsidP="00DE2F6D">
            <w:pPr>
              <w:spacing w:before="150"/>
              <w:rPr>
                <w:rFonts w:ascii="Arial" w:eastAsia="Times New Roman" w:hAnsi="Arial" w:cs="Arial"/>
                <w:color w:val="0070C0"/>
                <w:sz w:val="21"/>
                <w:szCs w:val="21"/>
              </w:rPr>
            </w:pPr>
            <w:r w:rsidRPr="00A967AC">
              <w:rPr>
                <w:rFonts w:ascii="Arial" w:eastAsia="Times New Roman" w:hAnsi="Arial" w:cs="Arial"/>
                <w:color w:val="0070C0"/>
                <w:sz w:val="21"/>
                <w:szCs w:val="21"/>
              </w:rPr>
              <w:t>Use Case Name</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A967AC" w:rsidRDefault="00A967AC" w:rsidP="00DE2F6D">
            <w:pPr>
              <w:spacing w:before="150"/>
              <w:rPr>
                <w:rFonts w:ascii="Arial" w:eastAsia="Times New Roman" w:hAnsi="Arial" w:cs="Arial"/>
                <w:b/>
                <w:color w:val="0070C0"/>
                <w:sz w:val="21"/>
                <w:szCs w:val="21"/>
              </w:rPr>
            </w:pPr>
            <w:r w:rsidRPr="00A967AC">
              <w:rPr>
                <w:b/>
                <w:color w:val="0070C0"/>
              </w:rPr>
              <w:t>In-Person Proofing (IPP) as a Service</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rPr>
                <w:rFonts w:ascii="Arial" w:eastAsia="Times New Roman" w:hAnsi="Arial" w:cs="Arial"/>
                <w:color w:val="333333"/>
                <w:sz w:val="21"/>
                <w:szCs w:val="21"/>
              </w:rPr>
            </w:pPr>
            <w:r w:rsidRPr="00FE3210">
              <w:rPr>
                <w:rFonts w:ascii="Arial" w:eastAsia="Times New Roman" w:hAnsi="Arial" w:cs="Arial"/>
                <w:color w:val="333333"/>
                <w:sz w:val="21"/>
                <w:szCs w:val="21"/>
              </w:rPr>
              <w:t>Context</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scenario highlights the opportunity to leverage retail infrastructures of IPP Service Providers to increase adoption of better identity proofing with digital RPs. The goal is to identity proof the Individual with an acceptable level of confidence for transacting.</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Stakeholders &amp; Interests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Individual</w:t>
            </w:r>
            <w:r>
              <w:rPr>
                <w:rFonts w:ascii="Arial" w:eastAsia="Times New Roman" w:hAnsi="Arial" w:cs="Arial"/>
                <w:color w:val="333333"/>
                <w:sz w:val="21"/>
                <w:szCs w:val="21"/>
              </w:rPr>
              <w:t xml:space="preserve"> – completing a transaction or gaining access to a system</w:t>
            </w:r>
          </w:p>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Relying Party</w:t>
            </w:r>
            <w:r>
              <w:rPr>
                <w:rFonts w:ascii="Arial" w:eastAsia="Times New Roman" w:hAnsi="Arial" w:cs="Arial"/>
                <w:color w:val="333333"/>
                <w:sz w:val="21"/>
                <w:szCs w:val="21"/>
              </w:rPr>
              <w:t xml:space="preserve"> (RP) – prevent identity fraud</w:t>
            </w:r>
          </w:p>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IPP Service Provider</w:t>
            </w:r>
            <w:r>
              <w:rPr>
                <w:rFonts w:ascii="Arial" w:eastAsia="Times New Roman" w:hAnsi="Arial" w:cs="Arial"/>
                <w:color w:val="333333"/>
                <w:sz w:val="21"/>
                <w:szCs w:val="21"/>
              </w:rPr>
              <w:t xml:space="preserve"> (IPP-SP) – provide quality service for a fee</w:t>
            </w:r>
          </w:p>
          <w:p w:rsidR="00A967AC" w:rsidRPr="004131EA" w:rsidRDefault="00A967AC" w:rsidP="00DE2F6D">
            <w:pPr>
              <w:pStyle w:val="ListParagraph"/>
              <w:numPr>
                <w:ilvl w:val="0"/>
                <w:numId w:val="3"/>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IPP Clerk</w:t>
            </w:r>
            <w:r>
              <w:rPr>
                <w:rFonts w:ascii="Arial" w:eastAsia="Times New Roman" w:hAnsi="Arial" w:cs="Arial"/>
                <w:color w:val="333333"/>
                <w:sz w:val="21"/>
                <w:szCs w:val="21"/>
              </w:rPr>
              <w:t xml:space="preserve"> – perform duties and protect the stakeholders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Triggers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4131EA" w:rsidRDefault="00A967AC" w:rsidP="00DE2F6D">
            <w:pPr>
              <w:pStyle w:val="ListParagraph"/>
              <w:numPr>
                <w:ilvl w:val="0"/>
                <w:numId w:val="2"/>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 xml:space="preserve">Individual subject cannot pass online proofing </w:t>
            </w:r>
          </w:p>
          <w:p w:rsidR="00A967AC" w:rsidRPr="004131EA" w:rsidRDefault="00A967AC" w:rsidP="00DE2F6D">
            <w:pPr>
              <w:pStyle w:val="ListParagraph"/>
              <w:numPr>
                <w:ilvl w:val="0"/>
                <w:numId w:val="2"/>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Individual elects not to submit info/pictures online for proofing</w:t>
            </w:r>
          </w:p>
          <w:p w:rsidR="00A967AC" w:rsidRPr="004131EA" w:rsidRDefault="00A967AC" w:rsidP="00DE2F6D">
            <w:pPr>
              <w:pStyle w:val="ListParagraph"/>
              <w:numPr>
                <w:ilvl w:val="0"/>
                <w:numId w:val="2"/>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Relying party decides a need for IPP</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Success Guarantees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An individual has presented themselves in person to a clerk (i.e., an employee of the IPP service provider)</w:t>
            </w:r>
          </w:p>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The individual has presented evidence of their identity in the form of a government issued photo ID</w:t>
            </w:r>
          </w:p>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The address on the photo ID matches what was provided during initial registration or a secondary document (e.g., lease, mortgage, utility) has been provided</w:t>
            </w:r>
          </w:p>
          <w:p w:rsidR="00A967AC" w:rsidRDefault="00A967AC" w:rsidP="00DE2F6D">
            <w:pPr>
              <w:pStyle w:val="ListParagraph"/>
              <w:numPr>
                <w:ilvl w:val="0"/>
                <w:numId w:val="1"/>
              </w:numPr>
              <w:spacing w:before="150"/>
              <w:rPr>
                <w:rFonts w:ascii="Arial" w:eastAsia="Times New Roman" w:hAnsi="Arial" w:cs="Arial"/>
                <w:color w:val="333333"/>
                <w:sz w:val="21"/>
                <w:szCs w:val="21"/>
              </w:rPr>
            </w:pPr>
            <w:r w:rsidRPr="004131EA">
              <w:rPr>
                <w:rFonts w:ascii="Arial" w:eastAsia="Times New Roman" w:hAnsi="Arial" w:cs="Arial"/>
                <w:color w:val="333333"/>
                <w:sz w:val="21"/>
                <w:szCs w:val="21"/>
              </w:rPr>
              <w:t>The clerk has had some training on spotting fraudulent IDs</w:t>
            </w:r>
            <w:r>
              <w:rPr>
                <w:rFonts w:ascii="Arial" w:eastAsia="Times New Roman" w:hAnsi="Arial" w:cs="Arial"/>
                <w:color w:val="333333"/>
                <w:sz w:val="21"/>
                <w:szCs w:val="21"/>
              </w:rPr>
              <w:t>, photo/person matching,</w:t>
            </w:r>
            <w:r w:rsidRPr="004131EA">
              <w:rPr>
                <w:rFonts w:ascii="Arial" w:eastAsia="Times New Roman" w:hAnsi="Arial" w:cs="Arial"/>
                <w:color w:val="333333"/>
                <w:sz w:val="21"/>
                <w:szCs w:val="21"/>
              </w:rPr>
              <w:t xml:space="preserve"> and suspicious behavior </w:t>
            </w:r>
          </w:p>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An enrollment code has linked the digital identity record with the IPP event</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Minimum Guarantees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4131EA" w:rsidRDefault="00A967AC" w:rsidP="00DE2F6D">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The process cannot be automated by an attacker (a human must present themselves).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Scope</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IPP as a Service (IPPaaS)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Primary Actor</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Individual / IPP Clerk</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Preconditions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The individual has a photo ID and evidence of current address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Main Success Scenario</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Default="00A967AC" w:rsidP="00DE2F6D">
            <w:pPr>
              <w:pStyle w:val="ListParagraph"/>
              <w:numPr>
                <w:ilvl w:val="0"/>
                <w:numId w:val="4"/>
              </w:numPr>
              <w:spacing w:before="150"/>
              <w:rPr>
                <w:rFonts w:ascii="Arial" w:eastAsia="Times New Roman" w:hAnsi="Arial" w:cs="Arial"/>
                <w:color w:val="333333"/>
                <w:sz w:val="21"/>
                <w:szCs w:val="21"/>
              </w:rPr>
            </w:pPr>
            <w:r w:rsidRPr="00FB7422">
              <w:rPr>
                <w:rFonts w:ascii="Arial" w:eastAsia="Times New Roman" w:hAnsi="Arial" w:cs="Arial"/>
                <w:color w:val="333333"/>
                <w:sz w:val="21"/>
                <w:szCs w:val="21"/>
              </w:rPr>
              <w:t>RP collects name, address, email (flexible) from the Individual to uniquely resolve the claimed identity [upon their return | against records if needed].</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lastRenderedPageBreak/>
              <w:t>Individual agrees to IPP</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An IPP enrollment code is issued to the Individual [from RP, IPP-SP, should be flexible]</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Individual presents the IPP enrollment code to the IPP Clerk.</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records the IPP enrollment code with the IPP-SP</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 xml:space="preserve">The Individual presents their photo ID to the IPP Clerk </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inspects the Photo ID for signs of forgery</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compares the Individual to the photo in the ID to make sure it is the same person</w:t>
            </w:r>
          </w:p>
          <w:p w:rsidR="00A967AC"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 Clerk records the Photo ID information such as name and address with the IPP-SP</w:t>
            </w:r>
          </w:p>
          <w:p w:rsidR="00A967AC" w:rsidRPr="00143479" w:rsidRDefault="00A967AC"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The IPP-SP shares the IPP enrollment code, identity information, and event details with the RP or a notice of fraud suspicion</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pPr>
              <w:autoSpaceDE w:val="0"/>
              <w:autoSpaceDN w:val="0"/>
              <w:adjustRightInd w:val="0"/>
              <w:rPr>
                <w:rFonts w:ascii="ArialMT" w:hAnsi="ArialMT" w:cs="ArialMT"/>
                <w:sz w:val="24"/>
                <w:szCs w:val="24"/>
              </w:rPr>
            </w:pPr>
            <w:r w:rsidRPr="00DD5E71">
              <w:rPr>
                <w:rFonts w:ascii="ArialMT" w:hAnsi="ArialMT" w:cs="ArialMT"/>
                <w:sz w:val="24"/>
                <w:szCs w:val="24"/>
              </w:rPr>
              <w:lastRenderedPageBreak/>
              <w:t>Resolution</w:t>
            </w:r>
            <w:r>
              <w:rPr>
                <w:rFonts w:ascii="ArialMT" w:hAnsi="ArialMT" w:cs="ArialMT"/>
                <w:sz w:val="24"/>
                <w:szCs w:val="24"/>
              </w:rPr>
              <w:t xml:space="preserve"> </w:t>
            </w:r>
            <w:r>
              <w:rPr>
                <w:rFonts w:ascii="ArialMT" w:hAnsi="ArialMT" w:cs="ArialMT"/>
                <w:sz w:val="24"/>
                <w:szCs w:val="24"/>
              </w:rPr>
              <w:br/>
              <w:t>(SP 800-63)</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Name, address, and other identifying information (e.g., email) is collected and used to uniquely identify the Individual.</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pPr>
              <w:autoSpaceDE w:val="0"/>
              <w:autoSpaceDN w:val="0"/>
              <w:adjustRightInd w:val="0"/>
              <w:rPr>
                <w:rFonts w:ascii="ArialMT" w:hAnsi="ArialMT" w:cs="ArialMT"/>
                <w:sz w:val="24"/>
                <w:szCs w:val="24"/>
              </w:rPr>
            </w:pPr>
            <w:r w:rsidRPr="00DD5E71">
              <w:rPr>
                <w:rFonts w:ascii="ArialMT" w:hAnsi="ArialMT" w:cs="ArialMT"/>
                <w:sz w:val="24"/>
                <w:szCs w:val="24"/>
              </w:rPr>
              <w:t xml:space="preserve">Evidence </w:t>
            </w:r>
            <w:r>
              <w:rPr>
                <w:rFonts w:ascii="ArialMT" w:hAnsi="ArialMT" w:cs="ArialMT"/>
                <w:sz w:val="24"/>
                <w:szCs w:val="24"/>
              </w:rPr>
              <w:b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Individual’s photo ID is collected and examined by the IPP Clerk. A secondary form of identification can be used for proof of current address.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r w:rsidRPr="00DD5E71">
              <w:rPr>
                <w:rFonts w:ascii="ArialMT" w:hAnsi="ArialMT" w:cs="ArialMT"/>
                <w:sz w:val="24"/>
                <w:szCs w:val="24"/>
              </w:rPr>
              <w:t>Validation</w:t>
            </w:r>
            <w:r>
              <w:rPr>
                <w:rFonts w:ascii="ArialMT" w:hAnsi="ArialMT" w:cs="ArialMT"/>
                <w:sz w:val="24"/>
                <w:szCs w:val="24"/>
              </w:rPr>
              <w:t xml:space="preserve"> </w:t>
            </w:r>
            <w:r>
              <w:rPr>
                <w:rFonts w:ascii="ArialMT" w:hAnsi="ArialMT" w:cs="ArialMT"/>
                <w:sz w:val="24"/>
                <w:szCs w:val="24"/>
              </w:rPr>
              <w:b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IPP Clerk inspects the ID for security features and signs of forgery.</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MT" w:hAnsi="ArialMT" w:cs="ArialMT"/>
                <w:sz w:val="24"/>
                <w:szCs w:val="24"/>
              </w:rPr>
            </w:pPr>
            <w:r>
              <w:rPr>
                <w:rFonts w:ascii="ArialMT" w:hAnsi="ArialMT" w:cs="ArialMT"/>
                <w:sz w:val="24"/>
                <w:szCs w:val="24"/>
              </w:rPr>
              <w:t>Verification</w:t>
            </w:r>
          </w:p>
          <w:p w:rsidR="00A967AC" w:rsidRPr="00DD5E71" w:rsidRDefault="00A967AC" w:rsidP="00DE2F6D">
            <w:pPr>
              <w:rPr>
                <w:rFonts w:ascii="ArialMT" w:hAnsi="ArialMT" w:cs="ArialMT"/>
                <w:sz w:val="24"/>
                <w:szCs w:val="24"/>
              </w:rPr>
            </w:pPr>
            <w:r>
              <w:rPr>
                <w:rFonts w:ascii="ArialMT" w:hAnsi="ArialMT" w:cs="ArialMT"/>
                <w:sz w:val="24"/>
                <w:szCs w:val="24"/>
              </w:rP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The IPP Clerk ensures the person in front of them is the same person on the photo ID.</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MT" w:hAnsi="ArialMT" w:cs="ArialMT"/>
                <w:sz w:val="24"/>
                <w:szCs w:val="24"/>
              </w:rPr>
            </w:pPr>
            <w:r>
              <w:rPr>
                <w:rFonts w:ascii="ArialMT" w:hAnsi="ArialMT" w:cs="ArialMT"/>
                <w:sz w:val="24"/>
                <w:szCs w:val="24"/>
              </w:rPr>
              <w:t>Address Confirmation</w:t>
            </w:r>
          </w:p>
          <w:p w:rsidR="00A967AC" w:rsidRDefault="00A967AC" w:rsidP="00DE2F6D">
            <w:pPr>
              <w:rPr>
                <w:rFonts w:ascii="ArialMT" w:hAnsi="ArialMT" w:cs="ArialMT"/>
                <w:sz w:val="24"/>
                <w:szCs w:val="24"/>
              </w:rPr>
            </w:pPr>
            <w:r>
              <w:rPr>
                <w:rFonts w:ascii="ArialMT" w:hAnsi="ArialMT" w:cs="ArialMT"/>
                <w:sz w:val="24"/>
                <w:szCs w:val="24"/>
              </w:rP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Optional</w:t>
            </w:r>
          </w:p>
          <w:p w:rsidR="00A967AC" w:rsidRDefault="00A967AC" w:rsidP="00DE2F6D">
            <w:pPr>
              <w:pStyle w:val="ListParagraph"/>
              <w:numPr>
                <w:ilvl w:val="0"/>
                <w:numId w:val="5"/>
              </w:numPr>
              <w:rPr>
                <w:rFonts w:ascii="Arial" w:eastAsia="Times New Roman" w:hAnsi="Arial" w:cs="Arial"/>
                <w:color w:val="333333"/>
                <w:sz w:val="21"/>
                <w:szCs w:val="21"/>
              </w:rPr>
            </w:pPr>
            <w:r>
              <w:rPr>
                <w:rFonts w:ascii="Arial" w:eastAsia="Times New Roman" w:hAnsi="Arial" w:cs="Arial"/>
                <w:color w:val="333333"/>
                <w:sz w:val="21"/>
                <w:szCs w:val="21"/>
              </w:rPr>
              <w:t>A notice can be mailed to the current address determined during IPP</w:t>
            </w:r>
          </w:p>
          <w:p w:rsidR="00A967AC" w:rsidRPr="000912AD" w:rsidRDefault="00A967AC" w:rsidP="00DE2F6D">
            <w:pPr>
              <w:pStyle w:val="ListParagraph"/>
              <w:numPr>
                <w:ilvl w:val="0"/>
                <w:numId w:val="5"/>
              </w:numPr>
              <w:rPr>
                <w:rFonts w:ascii="Arial" w:eastAsia="Times New Roman" w:hAnsi="Arial" w:cs="Arial"/>
                <w:color w:val="333333"/>
                <w:sz w:val="21"/>
                <w:szCs w:val="21"/>
              </w:rPr>
            </w:pPr>
            <w:r>
              <w:rPr>
                <w:rFonts w:ascii="Arial" w:eastAsia="Times New Roman" w:hAnsi="Arial" w:cs="Arial"/>
                <w:color w:val="333333"/>
                <w:sz w:val="21"/>
                <w:szCs w:val="21"/>
              </w:rPr>
              <w:t>Electronic or physical mail could have been used to deliver the IPP enrollment code to the Individual</w:t>
            </w:r>
          </w:p>
        </w:tc>
      </w:tr>
    </w:tbl>
    <w:p w:rsidR="00143479" w:rsidRPr="00A967AC" w:rsidRDefault="00143479" w:rsidP="00A967AC"/>
    <w:sectPr w:rsidR="00143479" w:rsidRPr="00A9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2BC4"/>
    <w:multiLevelType w:val="hybridMultilevel"/>
    <w:tmpl w:val="80F8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123BB"/>
    <w:multiLevelType w:val="hybridMultilevel"/>
    <w:tmpl w:val="D9E6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432E12"/>
    <w:multiLevelType w:val="hybridMultilevel"/>
    <w:tmpl w:val="5994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72002"/>
    <w:multiLevelType w:val="hybridMultilevel"/>
    <w:tmpl w:val="E548903C"/>
    <w:lvl w:ilvl="0" w:tplc="2B1404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B4372"/>
    <w:multiLevelType w:val="hybridMultilevel"/>
    <w:tmpl w:val="5448E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10"/>
    <w:rsid w:val="000912AD"/>
    <w:rsid w:val="000C3AEA"/>
    <w:rsid w:val="00143479"/>
    <w:rsid w:val="003E0EFC"/>
    <w:rsid w:val="004131EA"/>
    <w:rsid w:val="004308EA"/>
    <w:rsid w:val="005D4C08"/>
    <w:rsid w:val="00647303"/>
    <w:rsid w:val="00665B2C"/>
    <w:rsid w:val="006E4F30"/>
    <w:rsid w:val="00844489"/>
    <w:rsid w:val="00A967AC"/>
    <w:rsid w:val="00E26BE0"/>
    <w:rsid w:val="00E728D1"/>
    <w:rsid w:val="00F65BAA"/>
    <w:rsid w:val="00FB7422"/>
    <w:rsid w:val="00F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8F0AD-A168-42E6-B876-92EE0E7F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210"/>
    <w:pPr>
      <w:spacing w:before="150"/>
    </w:pPr>
    <w:rPr>
      <w:rFonts w:ascii="Times New Roman" w:eastAsia="Times New Roman" w:hAnsi="Times New Roman" w:cs="Times New Roman"/>
      <w:sz w:val="24"/>
      <w:szCs w:val="24"/>
    </w:rPr>
  </w:style>
  <w:style w:type="paragraph" w:styleId="ListParagraph">
    <w:name w:val="List Paragraph"/>
    <w:basedOn w:val="Normal"/>
    <w:uiPriority w:val="34"/>
    <w:qFormat/>
    <w:rsid w:val="0041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2690">
      <w:bodyDiv w:val="1"/>
      <w:marLeft w:val="0"/>
      <w:marRight w:val="0"/>
      <w:marTop w:val="0"/>
      <w:marBottom w:val="0"/>
      <w:divBdr>
        <w:top w:val="none" w:sz="0" w:space="0" w:color="auto"/>
        <w:left w:val="none" w:sz="0" w:space="0" w:color="auto"/>
        <w:bottom w:val="none" w:sz="0" w:space="0" w:color="auto"/>
        <w:right w:val="none" w:sz="0" w:space="0" w:color="auto"/>
      </w:divBdr>
      <w:divsChild>
        <w:div w:id="1171287569">
          <w:marLeft w:val="0"/>
          <w:marRight w:val="0"/>
          <w:marTop w:val="0"/>
          <w:marBottom w:val="0"/>
          <w:divBdr>
            <w:top w:val="none" w:sz="0" w:space="0" w:color="auto"/>
            <w:left w:val="none" w:sz="0" w:space="0" w:color="auto"/>
            <w:bottom w:val="none" w:sz="0" w:space="0" w:color="auto"/>
            <w:right w:val="none" w:sz="0" w:space="0" w:color="auto"/>
          </w:divBdr>
          <w:divsChild>
            <w:div w:id="1110248474">
              <w:marLeft w:val="0"/>
              <w:marRight w:val="0"/>
              <w:marTop w:val="0"/>
              <w:marBottom w:val="0"/>
              <w:divBdr>
                <w:top w:val="none" w:sz="0" w:space="0" w:color="auto"/>
                <w:left w:val="none" w:sz="0" w:space="0" w:color="auto"/>
                <w:bottom w:val="none" w:sz="0" w:space="0" w:color="auto"/>
                <w:right w:val="none" w:sz="0" w:space="0" w:color="auto"/>
              </w:divBdr>
              <w:divsChild>
                <w:div w:id="455880656">
                  <w:marLeft w:val="0"/>
                  <w:marRight w:val="0"/>
                  <w:marTop w:val="0"/>
                  <w:marBottom w:val="0"/>
                  <w:divBdr>
                    <w:top w:val="none" w:sz="0" w:space="0" w:color="auto"/>
                    <w:left w:val="none" w:sz="0" w:space="0" w:color="auto"/>
                    <w:bottom w:val="none" w:sz="0" w:space="0" w:color="auto"/>
                    <w:right w:val="none" w:sz="0" w:space="0" w:color="auto"/>
                  </w:divBdr>
                  <w:divsChild>
                    <w:div w:id="1282809772">
                      <w:marLeft w:val="4275"/>
                      <w:marRight w:val="0"/>
                      <w:marTop w:val="615"/>
                      <w:marBottom w:val="0"/>
                      <w:divBdr>
                        <w:top w:val="none" w:sz="0" w:space="0" w:color="auto"/>
                        <w:left w:val="none" w:sz="0" w:space="0" w:color="auto"/>
                        <w:bottom w:val="none" w:sz="0" w:space="0" w:color="auto"/>
                        <w:right w:val="none" w:sz="0" w:space="0" w:color="auto"/>
                      </w:divBdr>
                      <w:divsChild>
                        <w:div w:id="1288122356">
                          <w:marLeft w:val="0"/>
                          <w:marRight w:val="0"/>
                          <w:marTop w:val="0"/>
                          <w:marBottom w:val="0"/>
                          <w:divBdr>
                            <w:top w:val="none" w:sz="0" w:space="0" w:color="auto"/>
                            <w:left w:val="none" w:sz="0" w:space="0" w:color="auto"/>
                            <w:bottom w:val="none" w:sz="0" w:space="0" w:color="auto"/>
                            <w:right w:val="none" w:sz="0" w:space="0" w:color="auto"/>
                          </w:divBdr>
                          <w:divsChild>
                            <w:div w:id="672683179">
                              <w:marLeft w:val="0"/>
                              <w:marRight w:val="0"/>
                              <w:marTop w:val="0"/>
                              <w:marBottom w:val="0"/>
                              <w:divBdr>
                                <w:top w:val="none" w:sz="0" w:space="0" w:color="auto"/>
                                <w:left w:val="none" w:sz="0" w:space="0" w:color="auto"/>
                                <w:bottom w:val="none" w:sz="0" w:space="0" w:color="auto"/>
                                <w:right w:val="none" w:sz="0" w:space="0" w:color="auto"/>
                              </w:divBdr>
                              <w:divsChild>
                                <w:div w:id="1671134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Terence W - Washington, DC - Contractor</dc:creator>
  <cp:keywords/>
  <dc:description/>
  <cp:lastModifiedBy>Mcbride, Terence W - Washington, DC - Contractor</cp:lastModifiedBy>
  <cp:revision>3</cp:revision>
  <dcterms:created xsi:type="dcterms:W3CDTF">2019-01-28T18:43:00Z</dcterms:created>
  <dcterms:modified xsi:type="dcterms:W3CDTF">2019-01-28T20:05:00Z</dcterms:modified>
</cp:coreProperties>
</file>