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868165" w14:textId="6B59EB55" w:rsidR="00D506D8" w:rsidRPr="003D3815" w:rsidRDefault="00F07550" w:rsidP="00F668CD">
      <w:pPr>
        <w:pStyle w:val="Title"/>
        <w:rPr>
          <w:sz w:val="32"/>
          <w:szCs w:val="48"/>
        </w:rPr>
      </w:pPr>
      <w:r w:rsidRPr="000364E9">
        <w:rPr>
          <w:sz w:val="32"/>
          <w:szCs w:val="48"/>
        </w:rPr>
        <w:fldChar w:fldCharType="begin"/>
      </w:r>
      <w:r w:rsidRPr="003D3815">
        <w:rPr>
          <w:sz w:val="32"/>
          <w:szCs w:val="48"/>
        </w:rPr>
        <w:instrText xml:space="preserve"> DOCPROPERTY "Title"  \* MERGEFORMAT </w:instrText>
      </w:r>
      <w:r w:rsidRPr="000364E9">
        <w:rPr>
          <w:sz w:val="32"/>
          <w:szCs w:val="48"/>
        </w:rPr>
        <w:fldChar w:fldCharType="separate"/>
      </w:r>
      <w:r w:rsidR="00333C24" w:rsidRPr="003D3815">
        <w:rPr>
          <w:sz w:val="32"/>
          <w:szCs w:val="48"/>
        </w:rPr>
        <w:t>Design Goals for a Healthcare Identity Environment Architecture</w:t>
      </w:r>
      <w:r w:rsidRPr="000364E9">
        <w:rPr>
          <w:sz w:val="32"/>
          <w:szCs w:val="48"/>
        </w:rPr>
        <w:fldChar w:fldCharType="end"/>
      </w:r>
    </w:p>
    <w:p w14:paraId="2D1EEED0" w14:textId="7AC848A4" w:rsidR="00D506D8" w:rsidRPr="003D3815" w:rsidRDefault="00D506D8" w:rsidP="00D506D8">
      <w:r w:rsidRPr="003D3815">
        <w:rPr>
          <w:b/>
        </w:rPr>
        <w:t>Version:</w:t>
      </w:r>
      <w:r w:rsidR="00F9427B" w:rsidRPr="003D3815">
        <w:tab/>
      </w:r>
      <w:r w:rsidR="00F9427B" w:rsidRPr="003D3815">
        <w:tab/>
      </w:r>
      <w:r w:rsidR="00F9427B" w:rsidRPr="003D3815">
        <w:tab/>
      </w:r>
      <w:r w:rsidR="00333C24" w:rsidRPr="003D3815">
        <w:t>1.0</w:t>
      </w:r>
      <w:r w:rsidR="00F9427B" w:rsidRPr="003D3815">
        <w:rPr>
          <w:rStyle w:val="VersionNumber"/>
        </w:rPr>
        <w:t xml:space="preserve"> draft</w:t>
      </w:r>
    </w:p>
    <w:p w14:paraId="16BC636D" w14:textId="638C1A17" w:rsidR="00D506D8" w:rsidRPr="003D3815" w:rsidRDefault="00F668CD" w:rsidP="00D506D8">
      <w:r w:rsidRPr="003D3815">
        <w:rPr>
          <w:b/>
        </w:rPr>
        <w:t xml:space="preserve">Document </w:t>
      </w:r>
      <w:r w:rsidR="00D506D8" w:rsidRPr="003D3815">
        <w:rPr>
          <w:b/>
        </w:rPr>
        <w:t>Date:</w:t>
      </w:r>
      <w:r w:rsidR="00D506D8" w:rsidRPr="003D3815">
        <w:tab/>
      </w:r>
      <w:r w:rsidR="00D506D8" w:rsidRPr="003D3815">
        <w:tab/>
      </w:r>
      <w:r w:rsidR="00333C24" w:rsidRPr="003D3815">
        <w:t>2020</w:t>
      </w:r>
      <w:r w:rsidR="00D506D8" w:rsidRPr="003D3815">
        <w:rPr>
          <w:rStyle w:val="DocumentDate"/>
        </w:rPr>
        <w:t>-</w:t>
      </w:r>
      <w:r w:rsidR="00333C24" w:rsidRPr="003D3815">
        <w:rPr>
          <w:rStyle w:val="DocumentDate"/>
        </w:rPr>
        <w:t>02</w:t>
      </w:r>
      <w:r w:rsidR="00D506D8" w:rsidRPr="003D3815">
        <w:rPr>
          <w:rStyle w:val="DocumentDate"/>
        </w:rPr>
        <w:t>-dd</w:t>
      </w:r>
    </w:p>
    <w:p w14:paraId="543F1979" w14:textId="0FEE7F92" w:rsidR="00D506D8" w:rsidRPr="003D3815" w:rsidRDefault="00D506D8" w:rsidP="00D506D8">
      <w:r w:rsidRPr="003D3815">
        <w:rPr>
          <w:b/>
        </w:rPr>
        <w:t>Editors:</w:t>
      </w:r>
      <w:r w:rsidRPr="003D3815">
        <w:tab/>
      </w:r>
      <w:r w:rsidRPr="003D3815">
        <w:tab/>
      </w:r>
      <w:r w:rsidRPr="003D3815">
        <w:tab/>
      </w:r>
      <w:r w:rsidR="00333C24" w:rsidRPr="003D3815">
        <w:t xml:space="preserve">Dr. Thomas Sullivan, </w:t>
      </w:r>
      <w:r w:rsidR="00905BCC" w:rsidRPr="003D3815">
        <w:t>Martin Smith</w:t>
      </w:r>
    </w:p>
    <w:p w14:paraId="72C4DBB9" w14:textId="5AC3B465" w:rsidR="00F1689B" w:rsidRPr="003D3815" w:rsidRDefault="00F1689B">
      <w:r w:rsidRPr="003D3815">
        <w:rPr>
          <w:b/>
        </w:rPr>
        <w:t>Produced by:</w:t>
      </w:r>
      <w:r w:rsidRPr="003D3815">
        <w:tab/>
      </w:r>
      <w:r w:rsidRPr="003D3815">
        <w:tab/>
      </w:r>
      <w:r w:rsidRPr="003D3815">
        <w:tab/>
      </w:r>
      <w:r w:rsidR="00333C24" w:rsidRPr="003D3815">
        <w:t>Healthcare Identity Assurance Working Group (HIAWG)</w:t>
      </w:r>
    </w:p>
    <w:p w14:paraId="052E48B7" w14:textId="77777777" w:rsidR="00B60999" w:rsidRPr="003D3815" w:rsidRDefault="0046657C" w:rsidP="000476BD">
      <w:pPr>
        <w:tabs>
          <w:tab w:val="center" w:pos="4500"/>
        </w:tabs>
        <w:rPr>
          <w:b/>
        </w:rPr>
      </w:pPr>
      <w:r w:rsidRPr="003D3815">
        <w:rPr>
          <w:b/>
        </w:rPr>
        <w:t>Status:</w:t>
      </w:r>
      <w:r w:rsidR="000476BD" w:rsidRPr="003D3815">
        <w:rPr>
          <w:b/>
        </w:rPr>
        <w:tab/>
      </w:r>
    </w:p>
    <w:p w14:paraId="5BA8355F" w14:textId="26737079" w:rsidR="0046657C" w:rsidRPr="003D3815" w:rsidRDefault="0046657C" w:rsidP="00A933E5">
      <w:r w:rsidRPr="003D3815">
        <w:t xml:space="preserve">This document is a </w:t>
      </w:r>
      <w:r w:rsidR="00891894" w:rsidRPr="003D3815">
        <w:rPr>
          <w:noProof/>
        </w:rPr>
        <w:t>Group Draft</w:t>
      </w:r>
      <w:r w:rsidR="0079627E" w:rsidRPr="003D3815">
        <w:t xml:space="preserve"> </w:t>
      </w:r>
      <w:r w:rsidR="00B2220A" w:rsidRPr="003D3815">
        <w:t>Report</w:t>
      </w:r>
      <w:r w:rsidR="003C3B5E" w:rsidRPr="003D3815">
        <w:t xml:space="preserve"> produced by the </w:t>
      </w:r>
      <w:r w:rsidR="00B2220A" w:rsidRPr="003D3815">
        <w:t>Healthcare Identity Assurance Working Group (HIAWG)</w:t>
      </w:r>
      <w:r w:rsidR="00905BCC" w:rsidRPr="003D3815">
        <w:rPr>
          <w:noProof/>
        </w:rPr>
        <w:t>.</w:t>
      </w:r>
      <w:r w:rsidR="004D3728" w:rsidRPr="003D3815">
        <w:t xml:space="preserve"> </w:t>
      </w:r>
      <w:r w:rsidR="003C3B5E" w:rsidRPr="003D3815">
        <w:t>See the Kantara Initiative Operating Procedures {op href} for more information.</w:t>
      </w:r>
    </w:p>
    <w:p w14:paraId="5F1473BF" w14:textId="1CE0667D" w:rsidR="00A228A6" w:rsidRPr="003D3815" w:rsidRDefault="00A228A6" w:rsidP="00D506D8">
      <w:pPr>
        <w:rPr>
          <w:b/>
        </w:rPr>
      </w:pPr>
      <w:r w:rsidRPr="003D3815">
        <w:rPr>
          <w:b/>
        </w:rPr>
        <w:t>Abstract:</w:t>
      </w:r>
    </w:p>
    <w:p w14:paraId="67C8795D" w14:textId="4D35E8D4" w:rsidR="00B2220A" w:rsidRPr="003D3815" w:rsidRDefault="00B2220A" w:rsidP="00D506D8">
      <w:pPr>
        <w:rPr>
          <w:bCs/>
          <w:strike/>
        </w:rPr>
      </w:pPr>
      <w:r w:rsidRPr="003D3815">
        <w:rPr>
          <w:bCs/>
        </w:rPr>
        <w:t xml:space="preserve">Kantara’s Healthcare Identity Assurance Working Group (HIAWG) is building on the work of the Healthcare Committee of the former Identity Ecosystem Steering Group (IDESG) towards defining design goals (i.e., high-level requirements) for an identity architecture for the healthcare sector. This healthcare-specific architecture should meet the business requirements of that sector </w:t>
      </w:r>
      <w:r w:rsidR="00A4676E" w:rsidRPr="003D3815">
        <w:rPr>
          <w:bCs/>
        </w:rPr>
        <w:t xml:space="preserve"> so it will be sustainable </w:t>
      </w:r>
      <w:r w:rsidRPr="003D3815">
        <w:rPr>
          <w:bCs/>
        </w:rPr>
        <w:t>while also maintaining alignment with the</w:t>
      </w:r>
      <w:r w:rsidR="00A4676E" w:rsidRPr="003D3815">
        <w:rPr>
          <w:bCs/>
        </w:rPr>
        <w:t xml:space="preserve"> relevant</w:t>
      </w:r>
      <w:r w:rsidRPr="003D3815">
        <w:rPr>
          <w:bCs/>
        </w:rPr>
        <w:t xml:space="preserve"> principles </w:t>
      </w:r>
      <w:r w:rsidR="00A4676E" w:rsidRPr="003D3815">
        <w:rPr>
          <w:bCs/>
        </w:rPr>
        <w:t xml:space="preserve">from our prior workgroups </w:t>
      </w:r>
      <w:r w:rsidR="00B20D45" w:rsidRPr="003D3815">
        <w:rPr>
          <w:bCs/>
        </w:rPr>
        <w:t>cited below. We believe these healthcare design goals can be applied globally in appropriate environments</w:t>
      </w:r>
      <w:r w:rsidR="006040F3" w:rsidRPr="003D3815">
        <w:rPr>
          <w:bCs/>
        </w:rPr>
        <w:t>.</w:t>
      </w:r>
    </w:p>
    <w:p w14:paraId="31AF591A" w14:textId="3FC5221E" w:rsidR="008B7C1A" w:rsidRPr="003D3815" w:rsidRDefault="008C3731" w:rsidP="00D506D8">
      <w:r w:rsidRPr="003D3815">
        <w:rPr>
          <w:b/>
        </w:rPr>
        <w:t>PR</w:t>
      </w:r>
      <w:r w:rsidR="00D525F6" w:rsidRPr="003D3815">
        <w:rPr>
          <w:b/>
        </w:rPr>
        <w:t xml:space="preserve"> Option</w:t>
      </w:r>
      <w:r w:rsidRPr="003D3815">
        <w:rPr>
          <w:b/>
        </w:rPr>
        <w:t>:</w:t>
      </w:r>
      <w:r w:rsidR="00850A03" w:rsidRPr="003D3815">
        <w:rPr>
          <w:b/>
        </w:rPr>
        <w:t xml:space="preserve"> </w:t>
      </w:r>
    </w:p>
    <w:p w14:paraId="34982122" w14:textId="77777777" w:rsidR="00FB766C" w:rsidRPr="003D3815" w:rsidRDefault="00FB766C" w:rsidP="00D506D8">
      <w:r w:rsidRPr="003D3815">
        <w:t>Creative Commons Attribution-Share Alike</w:t>
      </w:r>
    </w:p>
    <w:p w14:paraId="4773AE06" w14:textId="3CA582CF" w:rsidR="00D525F6" w:rsidRPr="003D3815" w:rsidRDefault="00D525F6" w:rsidP="00D506D8">
      <w:pPr>
        <w:rPr>
          <w:b/>
        </w:rPr>
      </w:pPr>
      <w:r w:rsidRPr="003D3815">
        <w:rPr>
          <w:b/>
        </w:rPr>
        <w:t>Suggested Citation:</w:t>
      </w:r>
    </w:p>
    <w:p w14:paraId="3BE7F8DE" w14:textId="4FC15AD8" w:rsidR="00EF0DFA" w:rsidRPr="003D3815" w:rsidRDefault="00A72125" w:rsidP="00C01AFA">
      <w:r w:rsidRPr="003D3815">
        <w:rPr>
          <w:i/>
        </w:rPr>
        <w:t>Design Goals for a Healthcare Identity Environment Architecture</w:t>
      </w:r>
      <w:r w:rsidRPr="003D3815">
        <w:rPr>
          <w:iCs/>
        </w:rPr>
        <w:t>, Version</w:t>
      </w:r>
      <w:r w:rsidR="00C01AFA" w:rsidRPr="003D3815">
        <w:rPr>
          <w:i/>
        </w:rPr>
        <w:t xml:space="preserve"> </w:t>
      </w:r>
      <w:r w:rsidRPr="003D3815">
        <w:rPr>
          <w:i/>
        </w:rPr>
        <w:t>1.0</w:t>
      </w:r>
      <w:r w:rsidRPr="003D3815">
        <w:rPr>
          <w:iCs/>
        </w:rPr>
        <w:t>,</w:t>
      </w:r>
      <w:r w:rsidR="00C01AFA" w:rsidRPr="003D3815">
        <w:rPr>
          <w:i/>
        </w:rPr>
        <w:t xml:space="preserve"> </w:t>
      </w:r>
      <w:r w:rsidR="00C01AFA" w:rsidRPr="003D3815">
        <w:t>Kantara Initiative</w:t>
      </w:r>
      <w:r w:rsidRPr="003D3815">
        <w:t xml:space="preserve"> Healthcare Identity Assurance Working Group</w:t>
      </w:r>
      <w:r w:rsidR="00C01AFA" w:rsidRPr="003D3815">
        <w:t xml:space="preserve"> </w:t>
      </w:r>
      <w:r w:rsidRPr="003D3815">
        <w:t>2020-03-xx</w:t>
      </w:r>
      <w:r w:rsidR="00C01AFA" w:rsidRPr="003D3815">
        <w:t xml:space="preserve">. Kantara Initiative </w:t>
      </w:r>
      <w:r w:rsidR="00905BCC" w:rsidRPr="003D3815">
        <w:t>Report</w:t>
      </w:r>
      <w:r w:rsidR="00C01AFA" w:rsidRPr="003D3815">
        <w:t>. HREF</w:t>
      </w:r>
    </w:p>
    <w:p w14:paraId="4D432A93" w14:textId="77777777" w:rsidR="00C01AFA" w:rsidRPr="003D3815" w:rsidRDefault="00C01AFA" w:rsidP="003B1FD8">
      <w:pPr>
        <w:jc w:val="center"/>
      </w:pPr>
    </w:p>
    <w:p w14:paraId="24C51FA6" w14:textId="77777777" w:rsidR="00F04BAB" w:rsidRPr="003D3815" w:rsidRDefault="00271535" w:rsidP="00CC0D70">
      <w:pPr>
        <w:pStyle w:val="CopyrightNoticeHeading"/>
      </w:pPr>
      <w:r w:rsidRPr="003D3815">
        <w:lastRenderedPageBreak/>
        <w:t>NOTICE</w:t>
      </w:r>
    </w:p>
    <w:p w14:paraId="395BD967" w14:textId="77777777" w:rsidR="008B7C1A" w:rsidRPr="003D3815" w:rsidRDefault="008B7C1A" w:rsidP="003B1FD8"/>
    <w:p w14:paraId="13B023CE" w14:textId="7982988E" w:rsidR="008B7C1A" w:rsidRPr="003D3815" w:rsidRDefault="008B7C1A" w:rsidP="003B1FD8">
      <w:r w:rsidRPr="003D3815">
        <w:t xml:space="preserve">Implementation or use of certain elements of this document may require licenses under third party intellectual property rights, including without limitation, patent rights. The Participants of and any other contributors to the Specification are not and shall not be held responsible in any manner for identifying or failing to identify any or all such </w:t>
      </w:r>
      <w:r w:rsidR="007F10B6" w:rsidRPr="003D3815">
        <w:t>third-party</w:t>
      </w:r>
      <w:r w:rsidRPr="003D3815">
        <w:rPr>
          <w:b/>
          <w:bCs/>
        </w:rPr>
        <w:t xml:space="preserve"> </w:t>
      </w:r>
      <w:r w:rsidRPr="003D3815">
        <w:t xml:space="preserve">intellectual property rights. This Specification is provided "AS IS," and no Participant in Kantara Initiative makes any warranty of any kind, expressed or implied, including any implied warranties of merchantability, non-infringement of </w:t>
      </w:r>
      <w:r w:rsidR="007F10B6" w:rsidRPr="003D3815">
        <w:t>third-party</w:t>
      </w:r>
      <w:r w:rsidRPr="003D3815">
        <w:t xml:space="preserve"> intellectual property rights, and fitness for a particular purpose. Implementers of this Specification are advised to review Kantara Initiative’s website (http://www.kantarainitiative.org/) for information concerning any Necessary Claims Disclosure Notices that have been received by the Kantara Initiative Board of Directors.</w:t>
      </w:r>
    </w:p>
    <w:p w14:paraId="675A5214" w14:textId="6100DB9F" w:rsidR="00C330AB" w:rsidRPr="003D3815" w:rsidRDefault="00C330AB" w:rsidP="00582C80">
      <w:pPr>
        <w:jc w:val="center"/>
        <w:rPr>
          <w:rFonts w:cs="Arial"/>
        </w:rPr>
      </w:pPr>
      <w:r w:rsidRPr="003D3815">
        <w:rPr>
          <w:noProof/>
        </w:rPr>
        <w:drawing>
          <wp:inline distT="0" distB="0" distL="0" distR="0" wp14:anchorId="1FF0BFF7" wp14:editId="72012E36">
            <wp:extent cx="1227455" cy="429260"/>
            <wp:effectExtent l="0" t="0" r="0" b="2540"/>
            <wp:docPr id="7" name="Picture 7" descr="/Users/achughes/Downloads/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chughes/Downloads/by-s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7455" cy="429260"/>
                    </a:xfrm>
                    <a:prstGeom prst="rect">
                      <a:avLst/>
                    </a:prstGeom>
                    <a:noFill/>
                    <a:ln>
                      <a:noFill/>
                    </a:ln>
                  </pic:spPr>
                </pic:pic>
              </a:graphicData>
            </a:graphic>
          </wp:inline>
        </w:drawing>
      </w:r>
    </w:p>
    <w:p w14:paraId="0F0BA49B" w14:textId="77777777" w:rsidR="00C330AB" w:rsidRPr="003D3815" w:rsidRDefault="00C330AB" w:rsidP="00ED15E3">
      <w:pPr>
        <w:spacing w:before="0" w:after="0"/>
      </w:pPr>
      <w:r w:rsidRPr="003D3815">
        <w:t>This work is licensed under the Creative Commons Attribution-Share Alike 3.0 Unported License (CC BY</w:t>
      </w:r>
      <w:r w:rsidRPr="003D3815">
        <w:noBreakHyphen/>
        <w:t xml:space="preserve">SA 3.0). To view a copy of the license, visit </w:t>
      </w:r>
      <w:hyperlink r:id="rId12" w:history="1">
        <w:r w:rsidRPr="003D3815">
          <w:rPr>
            <w:rStyle w:val="Hyperlink"/>
          </w:rPr>
          <w:t>https://creativecommons.org/licenses/by-sa/3.0/</w:t>
        </w:r>
      </w:hyperlink>
    </w:p>
    <w:p w14:paraId="4CB691E5" w14:textId="77777777" w:rsidR="00C330AB" w:rsidRPr="003D3815" w:rsidRDefault="00C330AB" w:rsidP="00ED15E3">
      <w:pPr>
        <w:spacing w:before="0" w:after="0"/>
      </w:pPr>
    </w:p>
    <w:p w14:paraId="1307D1E4" w14:textId="77777777" w:rsidR="00C330AB" w:rsidRPr="003D3815" w:rsidRDefault="00C330AB" w:rsidP="00ED15E3">
      <w:pPr>
        <w:spacing w:before="0" w:after="0"/>
      </w:pPr>
      <w:r w:rsidRPr="003D3815">
        <w:t>You are free to:</w:t>
      </w:r>
    </w:p>
    <w:p w14:paraId="2E0BC72F" w14:textId="77777777" w:rsidR="00C330AB" w:rsidRPr="003D3815" w:rsidRDefault="00C330AB" w:rsidP="00825562">
      <w:pPr>
        <w:spacing w:before="0" w:after="0"/>
        <w:ind w:left="720"/>
      </w:pPr>
      <w:r w:rsidRPr="003D3815">
        <w:t>Share — copy and redistribute the material in any medium or format</w:t>
      </w:r>
      <w:r w:rsidRPr="003D3815">
        <w:br/>
        <w:t>Adapt — remix, transform, and build upon the material for any purpose, even commercially.</w:t>
      </w:r>
    </w:p>
    <w:p w14:paraId="14E52820" w14:textId="77777777" w:rsidR="00C330AB" w:rsidRPr="003D3815" w:rsidRDefault="00C330AB" w:rsidP="00825562">
      <w:pPr>
        <w:spacing w:before="0" w:after="0"/>
        <w:ind w:left="720"/>
      </w:pPr>
      <w:r w:rsidRPr="003D3815">
        <w:t>This license is acceptable for Free Cultural Works.</w:t>
      </w:r>
    </w:p>
    <w:p w14:paraId="36410321" w14:textId="77777777" w:rsidR="00C330AB" w:rsidRPr="003D3815" w:rsidRDefault="00C330AB" w:rsidP="00825562">
      <w:pPr>
        <w:spacing w:before="0" w:after="0"/>
        <w:ind w:left="720"/>
      </w:pPr>
      <w:r w:rsidRPr="003D3815">
        <w:t>The licensor cannot revoke these freedoms as long as you follow the license terms.</w:t>
      </w:r>
    </w:p>
    <w:p w14:paraId="7721E8F8" w14:textId="77777777" w:rsidR="00C330AB" w:rsidRPr="003D3815" w:rsidRDefault="00C330AB" w:rsidP="00ED15E3">
      <w:pPr>
        <w:spacing w:before="0" w:after="0"/>
      </w:pPr>
      <w:r w:rsidRPr="003D3815">
        <w:t>Under the following terms:</w:t>
      </w:r>
    </w:p>
    <w:p w14:paraId="6AF36615" w14:textId="77777777" w:rsidR="00C330AB" w:rsidRPr="003D3815" w:rsidRDefault="00C330AB" w:rsidP="00825562">
      <w:pPr>
        <w:spacing w:before="0" w:after="0"/>
        <w:ind w:left="720"/>
      </w:pPr>
      <w:r w:rsidRPr="003D3815">
        <w:t>Attribution — You must give appropriate credit, provide a link to the license, and indicate if changes were made. You may do so in any reasonable manner, but not in any way that suggests the licensor endorses you or your use.</w:t>
      </w:r>
    </w:p>
    <w:p w14:paraId="16A0145D" w14:textId="2A0CA4A4" w:rsidR="00C330AB" w:rsidRPr="003D3815" w:rsidRDefault="006040F3" w:rsidP="00825562">
      <w:pPr>
        <w:spacing w:before="0" w:after="0"/>
        <w:ind w:left="720"/>
      </w:pPr>
      <w:r w:rsidRPr="003D3815">
        <w:t>Share Alike</w:t>
      </w:r>
      <w:r w:rsidR="00C330AB" w:rsidRPr="003D3815">
        <w:t xml:space="preserve"> — If you remix, transform, or build upon the material, you must distribute your contributions under the same license as the original.</w:t>
      </w:r>
    </w:p>
    <w:p w14:paraId="1639FA72" w14:textId="0B1A661C" w:rsidR="00C330AB" w:rsidRDefault="00C330AB" w:rsidP="00825562">
      <w:pPr>
        <w:spacing w:before="0" w:after="0"/>
        <w:ind w:left="720"/>
      </w:pPr>
      <w:r w:rsidRPr="003D3815">
        <w:t>No additional restrictions — You may not apply legal terms or technological measures that legally restrict others from doing anything the license permits.</w:t>
      </w:r>
    </w:p>
    <w:p w14:paraId="0ECBF141" w14:textId="3BBC2768" w:rsidR="003D3815" w:rsidRDefault="003D3815" w:rsidP="00825562">
      <w:pPr>
        <w:spacing w:before="0" w:after="0"/>
        <w:ind w:left="720"/>
      </w:pPr>
    </w:p>
    <w:p w14:paraId="3C40930E" w14:textId="77777777" w:rsidR="003D3815" w:rsidRPr="003D3815" w:rsidRDefault="003D3815" w:rsidP="00825562">
      <w:pPr>
        <w:spacing w:before="0" w:after="0"/>
        <w:ind w:left="720"/>
      </w:pPr>
    </w:p>
    <w:p w14:paraId="4949A5E7" w14:textId="77777777" w:rsidR="00C330AB" w:rsidRPr="003D3815" w:rsidRDefault="00C330AB" w:rsidP="00ED15E3">
      <w:pPr>
        <w:spacing w:before="0" w:after="0"/>
        <w:rPr>
          <w:b/>
        </w:rPr>
      </w:pPr>
      <w:r w:rsidRPr="003D3815">
        <w:rPr>
          <w:b/>
        </w:rPr>
        <w:t>Notices:</w:t>
      </w:r>
    </w:p>
    <w:p w14:paraId="296E7B7E" w14:textId="77777777" w:rsidR="00C330AB" w:rsidRPr="003D3815" w:rsidRDefault="00C330AB" w:rsidP="00ED15E3">
      <w:pPr>
        <w:spacing w:before="0" w:after="0"/>
      </w:pPr>
      <w:r w:rsidRPr="003D3815">
        <w:t>You do not have to comply with the license for elements of the material in the public domain or where your use is permitted by an applicable exception or limitation.</w:t>
      </w:r>
    </w:p>
    <w:p w14:paraId="0E844BD2" w14:textId="77777777" w:rsidR="00C330AB" w:rsidRPr="003D3815" w:rsidRDefault="00C330AB" w:rsidP="00ED15E3">
      <w:pPr>
        <w:spacing w:before="0" w:after="0"/>
      </w:pPr>
      <w:r w:rsidRPr="003D3815">
        <w:lastRenderedPageBreak/>
        <w:t>No warranties are given. The license may not give you all of the permissions necessary for your intended use. For example, other rights such as publicity, privacy, or moral rights may limit how you use the material.</w:t>
      </w:r>
    </w:p>
    <w:p w14:paraId="045D6FDD" w14:textId="77777777" w:rsidR="00C330AB" w:rsidRPr="003D3815" w:rsidRDefault="00C330AB" w:rsidP="00ED15E3">
      <w:pPr>
        <w:spacing w:before="0" w:after="0"/>
      </w:pPr>
    </w:p>
    <w:p w14:paraId="0F992A16" w14:textId="77777777" w:rsidR="00C330AB" w:rsidRPr="003D3815" w:rsidRDefault="00C330AB" w:rsidP="00891098">
      <w:pPr>
        <w:spacing w:before="0" w:after="0"/>
      </w:pPr>
      <w:r w:rsidRPr="003D3815">
        <w:t>For any reuse or distribution, you must make clear to others the license terms of this work. The best way to do this is with a link to this document.</w:t>
      </w:r>
    </w:p>
    <w:p w14:paraId="01F03555" w14:textId="232CDF71" w:rsidR="00905BCC" w:rsidRPr="003D3815" w:rsidRDefault="00905BCC">
      <w:pPr>
        <w:rPr>
          <w:rFonts w:cs="Arial"/>
        </w:rPr>
      </w:pPr>
    </w:p>
    <w:p w14:paraId="773ABF37" w14:textId="77777777" w:rsidR="00905BCC" w:rsidRPr="003D3815" w:rsidRDefault="00905BCC">
      <w:pPr>
        <w:rPr>
          <w:rFonts w:cs="Arial"/>
        </w:rPr>
      </w:pPr>
    </w:p>
    <w:p w14:paraId="23C689CF" w14:textId="77777777" w:rsidR="00905BCC" w:rsidRPr="003D3815" w:rsidRDefault="00905BCC">
      <w:pPr>
        <w:rPr>
          <w:rFonts w:cs="Arial"/>
          <w:noProof/>
        </w:rPr>
      </w:pPr>
    </w:p>
    <w:p w14:paraId="12A1991A" w14:textId="77777777" w:rsidR="00905BCC" w:rsidRPr="003D3815" w:rsidRDefault="00905BCC">
      <w:pPr>
        <w:rPr>
          <w:rFonts w:cs="Arial"/>
          <w:noProof/>
        </w:rPr>
      </w:pPr>
    </w:p>
    <w:p w14:paraId="5C7B382F" w14:textId="4C4BE4D1" w:rsidR="005A3E9E" w:rsidRPr="003D3815" w:rsidRDefault="003B1FD8" w:rsidP="00D506D8">
      <w:r w:rsidRPr="003D3815">
        <w:t>Copyright: The content of this document is copyright of Kantara Initiative</w:t>
      </w:r>
      <w:r w:rsidR="00D427BC" w:rsidRPr="003D3815">
        <w:t>, Inc</w:t>
      </w:r>
      <w:r w:rsidRPr="003D3815">
        <w:t>.</w:t>
      </w:r>
      <w:r w:rsidRPr="003D3815">
        <w:br/>
        <w:t xml:space="preserve">© </w:t>
      </w:r>
      <w:r w:rsidR="000A3BFD" w:rsidRPr="003D3815">
        <w:t>2020</w:t>
      </w:r>
      <w:r w:rsidR="00D427BC" w:rsidRPr="003D3815">
        <w:t xml:space="preserve"> </w:t>
      </w:r>
      <w:r w:rsidRPr="003D3815">
        <w:t>Kantara Initiative</w:t>
      </w:r>
      <w:r w:rsidR="00D427BC" w:rsidRPr="003D3815">
        <w:t>, Inc</w:t>
      </w:r>
      <w:r w:rsidRPr="003D3815">
        <w:t>.</w:t>
      </w:r>
    </w:p>
    <w:p w14:paraId="7E2756AF" w14:textId="77777777" w:rsidR="00543690" w:rsidRPr="003D3815" w:rsidRDefault="00230353" w:rsidP="00561918">
      <w:pPr>
        <w:pageBreakBefore/>
        <w:rPr>
          <w:b/>
        </w:rPr>
      </w:pPr>
      <w:r w:rsidRPr="003D3815">
        <w:rPr>
          <w:b/>
        </w:rPr>
        <w:lastRenderedPageBreak/>
        <w:t>Contents</w:t>
      </w:r>
    </w:p>
    <w:p w14:paraId="77DEFE59" w14:textId="60B2F4B0" w:rsidR="00C216BE" w:rsidRPr="003D3815" w:rsidRDefault="00C216BE">
      <w:pPr>
        <w:pStyle w:val="TOC1"/>
        <w:tabs>
          <w:tab w:val="left" w:pos="440"/>
          <w:tab w:val="right" w:leader="dot" w:pos="8990"/>
        </w:tabs>
        <w:rPr>
          <w:rFonts w:asciiTheme="minorHAnsi" w:eastAsiaTheme="minorEastAsia" w:hAnsiTheme="minorHAnsi"/>
          <w:b w:val="0"/>
          <w:bCs w:val="0"/>
          <w:caps w:val="0"/>
          <w:noProof/>
        </w:rPr>
      </w:pPr>
      <w:r w:rsidRPr="003D3815">
        <w:rPr>
          <w:noProof/>
        </w:rPr>
        <w:t>1.</w:t>
      </w:r>
      <w:r w:rsidRPr="003D3815">
        <w:rPr>
          <w:rFonts w:asciiTheme="minorHAnsi" w:eastAsiaTheme="minorEastAsia" w:hAnsiTheme="minorHAnsi"/>
          <w:b w:val="0"/>
          <w:bCs w:val="0"/>
          <w:caps w:val="0"/>
          <w:noProof/>
        </w:rPr>
        <w:tab/>
      </w:r>
      <w:r w:rsidRPr="003D3815">
        <w:rPr>
          <w:noProof/>
        </w:rPr>
        <w:t>Introduction</w:t>
      </w:r>
      <w:r w:rsidRPr="003D3815">
        <w:rPr>
          <w:noProof/>
        </w:rPr>
        <w:tab/>
        <w:t>4</w:t>
      </w:r>
    </w:p>
    <w:p w14:paraId="40D08C6D" w14:textId="0EBE34FA" w:rsidR="00C216BE" w:rsidRPr="003D3815" w:rsidRDefault="00C216BE">
      <w:pPr>
        <w:pStyle w:val="TOC1"/>
        <w:tabs>
          <w:tab w:val="left" w:pos="440"/>
          <w:tab w:val="right" w:leader="dot" w:pos="8990"/>
        </w:tabs>
        <w:rPr>
          <w:rFonts w:asciiTheme="minorHAnsi" w:eastAsiaTheme="minorEastAsia" w:hAnsiTheme="minorHAnsi"/>
          <w:b w:val="0"/>
          <w:bCs w:val="0"/>
          <w:caps w:val="0"/>
          <w:noProof/>
        </w:rPr>
      </w:pPr>
      <w:r w:rsidRPr="003D3815">
        <w:rPr>
          <w:noProof/>
        </w:rPr>
        <w:t>2.</w:t>
      </w:r>
      <w:r w:rsidRPr="003D3815">
        <w:rPr>
          <w:rFonts w:asciiTheme="minorHAnsi" w:eastAsiaTheme="minorEastAsia" w:hAnsiTheme="minorHAnsi"/>
          <w:b w:val="0"/>
          <w:bCs w:val="0"/>
          <w:caps w:val="0"/>
          <w:noProof/>
        </w:rPr>
        <w:tab/>
      </w:r>
      <w:r w:rsidRPr="003D3815">
        <w:rPr>
          <w:noProof/>
        </w:rPr>
        <w:t>Design Goals for a Healthcare Identity Architecture</w:t>
      </w:r>
      <w:r w:rsidRPr="003D3815">
        <w:rPr>
          <w:noProof/>
        </w:rPr>
        <w:tab/>
        <w:t>5</w:t>
      </w:r>
    </w:p>
    <w:p w14:paraId="1BA80140" w14:textId="5C8740BA" w:rsidR="00C216BE" w:rsidRPr="003D3815" w:rsidRDefault="00C216BE">
      <w:pPr>
        <w:pStyle w:val="TOC1"/>
        <w:tabs>
          <w:tab w:val="left" w:pos="440"/>
          <w:tab w:val="right" w:leader="dot" w:pos="8990"/>
        </w:tabs>
        <w:rPr>
          <w:rFonts w:asciiTheme="minorHAnsi" w:eastAsiaTheme="minorEastAsia" w:hAnsiTheme="minorHAnsi"/>
          <w:b w:val="0"/>
          <w:bCs w:val="0"/>
          <w:caps w:val="0"/>
          <w:noProof/>
        </w:rPr>
      </w:pPr>
      <w:r w:rsidRPr="003D3815">
        <w:rPr>
          <w:noProof/>
        </w:rPr>
        <w:t>3.</w:t>
      </w:r>
      <w:r w:rsidRPr="003D3815">
        <w:rPr>
          <w:rFonts w:asciiTheme="minorHAnsi" w:eastAsiaTheme="minorEastAsia" w:hAnsiTheme="minorHAnsi"/>
          <w:b w:val="0"/>
          <w:bCs w:val="0"/>
          <w:caps w:val="0"/>
          <w:noProof/>
        </w:rPr>
        <w:tab/>
      </w:r>
      <w:r w:rsidRPr="003D3815">
        <w:rPr>
          <w:noProof/>
        </w:rPr>
        <w:t>Alignment of HIAWG DeSIGN Goals with NSTIC Principles</w:t>
      </w:r>
      <w:r w:rsidRPr="003D3815">
        <w:rPr>
          <w:noProof/>
        </w:rPr>
        <w:tab/>
        <w:t>7</w:t>
      </w:r>
    </w:p>
    <w:p w14:paraId="1744AAF3" w14:textId="38960F24" w:rsidR="00C216BE" w:rsidRPr="003D3815" w:rsidRDefault="00C216BE">
      <w:pPr>
        <w:pStyle w:val="TOC1"/>
        <w:tabs>
          <w:tab w:val="left" w:pos="440"/>
          <w:tab w:val="right" w:leader="dot" w:pos="8990"/>
        </w:tabs>
        <w:rPr>
          <w:rFonts w:asciiTheme="minorHAnsi" w:eastAsiaTheme="minorEastAsia" w:hAnsiTheme="minorHAnsi"/>
          <w:b w:val="0"/>
          <w:bCs w:val="0"/>
          <w:caps w:val="0"/>
          <w:noProof/>
        </w:rPr>
      </w:pPr>
      <w:r w:rsidRPr="003D3815">
        <w:rPr>
          <w:noProof/>
        </w:rPr>
        <w:t>4.</w:t>
      </w:r>
      <w:r w:rsidRPr="003D3815">
        <w:rPr>
          <w:rFonts w:asciiTheme="minorHAnsi" w:eastAsiaTheme="minorEastAsia" w:hAnsiTheme="minorHAnsi"/>
          <w:b w:val="0"/>
          <w:bCs w:val="0"/>
          <w:caps w:val="0"/>
          <w:noProof/>
        </w:rPr>
        <w:tab/>
      </w:r>
      <w:r w:rsidRPr="003D3815">
        <w:rPr>
          <w:noProof/>
        </w:rPr>
        <w:t>Conclusions</w:t>
      </w:r>
      <w:r w:rsidRPr="003D3815">
        <w:rPr>
          <w:noProof/>
        </w:rPr>
        <w:tab/>
        <w:t>10</w:t>
      </w:r>
    </w:p>
    <w:p w14:paraId="405EF6AE" w14:textId="540C1977" w:rsidR="00C216BE" w:rsidRPr="003D3815" w:rsidRDefault="00C216BE">
      <w:pPr>
        <w:pStyle w:val="TOC1"/>
        <w:tabs>
          <w:tab w:val="left" w:pos="440"/>
          <w:tab w:val="right" w:leader="dot" w:pos="8990"/>
        </w:tabs>
        <w:rPr>
          <w:rFonts w:asciiTheme="minorHAnsi" w:eastAsiaTheme="minorEastAsia" w:hAnsiTheme="minorHAnsi"/>
          <w:b w:val="0"/>
          <w:bCs w:val="0"/>
          <w:caps w:val="0"/>
          <w:noProof/>
        </w:rPr>
      </w:pPr>
      <w:r w:rsidRPr="003D3815">
        <w:rPr>
          <w:noProof/>
        </w:rPr>
        <w:t>5.</w:t>
      </w:r>
      <w:r w:rsidRPr="003D3815">
        <w:rPr>
          <w:rFonts w:asciiTheme="minorHAnsi" w:eastAsiaTheme="minorEastAsia" w:hAnsiTheme="minorHAnsi"/>
          <w:b w:val="0"/>
          <w:bCs w:val="0"/>
          <w:caps w:val="0"/>
          <w:noProof/>
        </w:rPr>
        <w:tab/>
      </w:r>
      <w:r w:rsidRPr="003D3815">
        <w:rPr>
          <w:noProof/>
        </w:rPr>
        <w:t>PROPOSED Follow-ON WOrk</w:t>
      </w:r>
      <w:r w:rsidRPr="003D3815">
        <w:rPr>
          <w:noProof/>
        </w:rPr>
        <w:tab/>
        <w:t>11</w:t>
      </w:r>
    </w:p>
    <w:p w14:paraId="162A5937" w14:textId="0F1747F1" w:rsidR="00C216BE" w:rsidRPr="003D3815" w:rsidRDefault="00C216BE">
      <w:pPr>
        <w:pStyle w:val="TOC2"/>
        <w:tabs>
          <w:tab w:val="right" w:leader="dot" w:pos="8990"/>
        </w:tabs>
        <w:rPr>
          <w:rFonts w:asciiTheme="minorHAnsi" w:eastAsiaTheme="minorEastAsia" w:hAnsiTheme="minorHAnsi"/>
          <w:smallCaps w:val="0"/>
          <w:noProof/>
        </w:rPr>
      </w:pPr>
      <w:r w:rsidRPr="003D3815">
        <w:rPr>
          <w:noProof/>
        </w:rPr>
        <w:t>5.1 ElaboratE the HIAWG Design Goals</w:t>
      </w:r>
      <w:r w:rsidRPr="003D3815">
        <w:rPr>
          <w:noProof/>
        </w:rPr>
        <w:tab/>
        <w:t>11</w:t>
      </w:r>
    </w:p>
    <w:p w14:paraId="71AD4AF3" w14:textId="3300D673" w:rsidR="00C216BE" w:rsidRPr="003D3815" w:rsidRDefault="00C216BE">
      <w:pPr>
        <w:pStyle w:val="TOC2"/>
        <w:tabs>
          <w:tab w:val="right" w:leader="dot" w:pos="8990"/>
        </w:tabs>
        <w:rPr>
          <w:rFonts w:asciiTheme="minorHAnsi" w:eastAsiaTheme="minorEastAsia" w:hAnsiTheme="minorHAnsi"/>
          <w:smallCaps w:val="0"/>
          <w:noProof/>
        </w:rPr>
      </w:pPr>
      <w:r w:rsidRPr="003D3815">
        <w:rPr>
          <w:noProof/>
        </w:rPr>
        <w:t xml:space="preserve">5.2 Advance the FIRE WG’s </w:t>
      </w:r>
      <w:r w:rsidRPr="003D3815">
        <w:rPr>
          <w:i/>
          <w:iCs/>
          <w:noProof/>
        </w:rPr>
        <w:t>Distributed Identity Assurance Specification</w:t>
      </w:r>
      <w:r w:rsidRPr="003D3815">
        <w:rPr>
          <w:noProof/>
        </w:rPr>
        <w:tab/>
        <w:t>11</w:t>
      </w:r>
    </w:p>
    <w:p w14:paraId="2021406B" w14:textId="3CC04E47" w:rsidR="00C216BE" w:rsidRPr="003D3815" w:rsidRDefault="00C216BE">
      <w:pPr>
        <w:pStyle w:val="TOC2"/>
        <w:tabs>
          <w:tab w:val="right" w:leader="dot" w:pos="8990"/>
        </w:tabs>
        <w:rPr>
          <w:rFonts w:asciiTheme="minorHAnsi" w:eastAsiaTheme="minorEastAsia" w:hAnsiTheme="minorHAnsi"/>
          <w:smallCaps w:val="0"/>
          <w:noProof/>
        </w:rPr>
      </w:pPr>
      <w:r w:rsidRPr="003D3815">
        <w:rPr>
          <w:noProof/>
        </w:rPr>
        <w:t>5.3 Advocate for incorporation of HIAWG Design Goals in healthcare stakeholders’ policies</w:t>
      </w:r>
      <w:r w:rsidRPr="003D3815">
        <w:rPr>
          <w:noProof/>
        </w:rPr>
        <w:tab/>
        <w:t>11</w:t>
      </w:r>
    </w:p>
    <w:p w14:paraId="36B11154" w14:textId="026531BC" w:rsidR="00C216BE" w:rsidRPr="003D3815" w:rsidRDefault="00C216BE">
      <w:pPr>
        <w:pStyle w:val="TOC1"/>
        <w:tabs>
          <w:tab w:val="left" w:pos="440"/>
          <w:tab w:val="right" w:leader="dot" w:pos="8990"/>
        </w:tabs>
        <w:rPr>
          <w:rFonts w:asciiTheme="minorHAnsi" w:eastAsiaTheme="minorEastAsia" w:hAnsiTheme="minorHAnsi"/>
          <w:b w:val="0"/>
          <w:bCs w:val="0"/>
          <w:caps w:val="0"/>
          <w:noProof/>
        </w:rPr>
      </w:pPr>
      <w:r w:rsidRPr="003D3815">
        <w:rPr>
          <w:noProof/>
        </w:rPr>
        <w:t>6.</w:t>
      </w:r>
      <w:r w:rsidRPr="003D3815">
        <w:rPr>
          <w:rFonts w:asciiTheme="minorHAnsi" w:eastAsiaTheme="minorEastAsia" w:hAnsiTheme="minorHAnsi"/>
          <w:b w:val="0"/>
          <w:bCs w:val="0"/>
          <w:caps w:val="0"/>
          <w:noProof/>
        </w:rPr>
        <w:tab/>
      </w:r>
      <w:r w:rsidRPr="003D3815">
        <w:rPr>
          <w:noProof/>
        </w:rPr>
        <w:t>Appendix A: Acknowledgements</w:t>
      </w:r>
      <w:r w:rsidRPr="003D3815">
        <w:rPr>
          <w:noProof/>
        </w:rPr>
        <w:tab/>
        <w:t>12</w:t>
      </w:r>
    </w:p>
    <w:p w14:paraId="0FF7C1AB" w14:textId="41F28FCB" w:rsidR="00230353" w:rsidRPr="003D3815" w:rsidRDefault="00230353" w:rsidP="00D506D8"/>
    <w:p w14:paraId="2ECD6A74" w14:textId="7CEF8802" w:rsidR="00D506D8" w:rsidRPr="003D3815" w:rsidRDefault="00A4794E" w:rsidP="00D506D8">
      <w:pPr>
        <w:pStyle w:val="Heading1"/>
      </w:pPr>
      <w:bookmarkStart w:id="1" w:name="_Toc32859217"/>
      <w:r w:rsidRPr="003D3815">
        <w:lastRenderedPageBreak/>
        <w:t>Introduction</w:t>
      </w:r>
      <w:bookmarkEnd w:id="1"/>
    </w:p>
    <w:p w14:paraId="16291F82" w14:textId="2220AF50" w:rsidR="00F25E5F" w:rsidRPr="003D3815" w:rsidRDefault="00F25E5F" w:rsidP="00F25E5F">
      <w:r w:rsidRPr="003D3815">
        <w:t xml:space="preserve">Kantara’s Healthcare Identity Assurance Working Group (HIAWG) is building on the work of the Healthcare Committee of the former </w:t>
      </w:r>
      <w:r w:rsidR="00B20D45" w:rsidRPr="003D3815">
        <w:t>NIST supported</w:t>
      </w:r>
      <w:r w:rsidR="007F10B6" w:rsidRPr="003D3815">
        <w:rPr>
          <w:b/>
          <w:bCs/>
        </w:rPr>
        <w:t>,</w:t>
      </w:r>
      <w:r w:rsidR="00B20D45" w:rsidRPr="003D3815">
        <w:t xml:space="preserve"> </w:t>
      </w:r>
      <w:r w:rsidRPr="003D3815">
        <w:t>Identity Ecosystem Steering Group (IDESG) towards defining design goals (i.e., high-level requirements) for an identity architecture for the</w:t>
      </w:r>
      <w:r w:rsidR="00B20D45" w:rsidRPr="003D3815">
        <w:rPr>
          <w:b/>
          <w:bCs/>
        </w:rPr>
        <w:t xml:space="preserve"> </w:t>
      </w:r>
      <w:r w:rsidR="00B20D45" w:rsidRPr="003D3815">
        <w:t>global</w:t>
      </w:r>
      <w:r w:rsidRPr="003D3815">
        <w:t xml:space="preserve">  healthcare sector. This healthcare-specific architecture should meet the business requirements of that sector</w:t>
      </w:r>
      <w:r w:rsidR="00B20D45" w:rsidRPr="003D3815">
        <w:rPr>
          <w:b/>
          <w:bCs/>
        </w:rPr>
        <w:t xml:space="preserve"> </w:t>
      </w:r>
      <w:r w:rsidR="00B20D45" w:rsidRPr="003D3815">
        <w:t xml:space="preserve">so as to insure sustainability. It should also serve as a starting point </w:t>
      </w:r>
      <w:r w:rsidR="006621C6" w:rsidRPr="003D3815">
        <w:t>for online identities being built</w:t>
      </w:r>
      <w:r w:rsidR="00B20D45" w:rsidRPr="003D3815">
        <w:t xml:space="preserve"> </w:t>
      </w:r>
      <w:r w:rsidR="006621C6" w:rsidRPr="003D3815">
        <w:t xml:space="preserve">with a global Healthcare Architecture in mind, along with the ecosystem that supports it. </w:t>
      </w:r>
      <w:r w:rsidRPr="003D3815">
        <w:t xml:space="preserve"> </w:t>
      </w:r>
      <w:r w:rsidR="006621C6" w:rsidRPr="003D3815">
        <w:t xml:space="preserve">Its provenance includes years of deliberation and substantial </w:t>
      </w:r>
      <w:r w:rsidR="006621C6" w:rsidRPr="003D3815">
        <w:rPr>
          <w:b/>
          <w:bCs/>
        </w:rPr>
        <w:t xml:space="preserve"> </w:t>
      </w:r>
      <w:r w:rsidRPr="003D3815">
        <w:t xml:space="preserve">alignment with the IDESG’s non-sector-specific Identity Ecosystem Framework (IDEF), which is itself designed to conform to the principles of the 2012 National Strategy for Trusted Identities in Cyberspace (NSTIC.) </w:t>
      </w:r>
    </w:p>
    <w:p w14:paraId="1979B9DC" w14:textId="42AA747A" w:rsidR="00561918" w:rsidRPr="003D3815" w:rsidRDefault="00F25E5F" w:rsidP="00F25E5F">
      <w:r w:rsidRPr="003D3815">
        <w:t>The Design Goals below are the IDESG Healthcare Committee design principles as updated by the HIAWG. Table 1, following, maps these HIAWG Design Goals to NSTIC Principles. Two results of this mapping exercise are notable: first, in some cases the WG concluded that a Healthcare Design Goal was not related to any NSTIC Principle, or even negatively related; second, in many cases HIAWG members expressed different interpretations of a Principle, or focused on different aspects of how a particular HIAWG Design Goal might relate to one of the NSTIC Principles. For example, some in the WG interpreted the NSTIC Principle of “Voluntary” as meaning that individuals should have maximum control of their identity information, whereas others, citing the political context in which the NSTIC was created, thought it meant that the Government should not mandate use of the IDEF (or any specific framework) by all relying parties or subscribers (individual users.)   The Comments in the mapping table and the HIAWG Member Comments on individual mappings provide some insight into what interpretations and assumptions underlie the alignment scores.</w:t>
      </w:r>
    </w:p>
    <w:p w14:paraId="04C39E4F" w14:textId="102E9A14" w:rsidR="00C330AB" w:rsidRPr="003D3815" w:rsidRDefault="00F25E5F" w:rsidP="00F25E5F">
      <w:pPr>
        <w:pStyle w:val="Heading1"/>
      </w:pPr>
      <w:bookmarkStart w:id="2" w:name="_Toc32859218"/>
      <w:r w:rsidRPr="003D3815">
        <w:lastRenderedPageBreak/>
        <w:t>Design Goals for a Healthcare Identity Architecture</w:t>
      </w:r>
      <w:bookmarkEnd w:id="2"/>
    </w:p>
    <w:p w14:paraId="42B6C6B3" w14:textId="77777777" w:rsidR="00F25E5F" w:rsidRPr="003D3815" w:rsidRDefault="00F25E5F" w:rsidP="00F25E5F">
      <w:pPr>
        <w:rPr>
          <w:rFonts w:cs="Arial"/>
        </w:rPr>
      </w:pPr>
      <w:r w:rsidRPr="003D3815">
        <w:rPr>
          <w:rFonts w:cs="Arial"/>
        </w:rPr>
        <w:t xml:space="preserve">Design goals are high-level requirements for how a system will perform its intended functions. The “system” in this case is an environment comprised of an unspecified number of separately owned and independently managed systems, which include technology (IT) as well as environment-wide rules and standards applicable to all participants. These systems interoperate to provide an identity and access-management (IAM) environment for transactions and information exchanges among healthcare providers and related organizations, their employees and contractors, other stakeholder organizations (e.g. regulators) and individual healthcare customers, that is, patients. </w:t>
      </w:r>
    </w:p>
    <w:p w14:paraId="78F198B1" w14:textId="77777777" w:rsidR="00F25E5F" w:rsidRPr="003D3815" w:rsidRDefault="00F25E5F" w:rsidP="00F25E5F">
      <w:pPr>
        <w:rPr>
          <w:rFonts w:cs="Arial"/>
        </w:rPr>
      </w:pPr>
      <w:r w:rsidRPr="003D3815">
        <w:rPr>
          <w:rFonts w:cs="Arial"/>
        </w:rPr>
        <w:t xml:space="preserve">The HIAWG has identified the following as requirements for a healthcare IAM environment:   </w:t>
      </w:r>
    </w:p>
    <w:p w14:paraId="677BAC12" w14:textId="757BE1D6" w:rsidR="00F25E5F" w:rsidRPr="003D3815" w:rsidRDefault="00F25E5F" w:rsidP="00F25E5F">
      <w:pPr>
        <w:ind w:left="720" w:hanging="720"/>
        <w:rPr>
          <w:rFonts w:cs="Arial"/>
        </w:rPr>
      </w:pPr>
      <w:r w:rsidRPr="003D3815">
        <w:rPr>
          <w:rFonts w:cs="Arial"/>
        </w:rPr>
        <w:t>1.</w:t>
      </w:r>
      <w:r w:rsidRPr="003D3815">
        <w:rPr>
          <w:rFonts w:cs="Arial"/>
        </w:rPr>
        <w:tab/>
        <w:t>The system shall support the goal of 100% accuracy in identity management and matching of patients to their health records</w:t>
      </w:r>
    </w:p>
    <w:p w14:paraId="0E850C6D" w14:textId="77777777" w:rsidR="00F25E5F" w:rsidRPr="003D3815" w:rsidRDefault="00F25E5F" w:rsidP="00F25E5F">
      <w:pPr>
        <w:ind w:left="720" w:hanging="720"/>
        <w:rPr>
          <w:rFonts w:cs="Arial"/>
        </w:rPr>
      </w:pPr>
      <w:r w:rsidRPr="003D3815">
        <w:rPr>
          <w:rFonts w:cs="Arial"/>
        </w:rPr>
        <w:t>2.</w:t>
      </w:r>
      <w:r w:rsidRPr="003D3815">
        <w:rPr>
          <w:rFonts w:cs="Arial"/>
        </w:rPr>
        <w:tab/>
        <w:t>The system shall include "Break the Glass" (BTG) capability for use in emergencies. A BTG capability allows access to information and functions that would not be permitted in non-emergency circumstances. A record of information accessed and actions taken using BTG capability must be included in audit logs (see Requirement 4. below) and notices or receipts should be sent to patients or others affected to inform them of the emergency access.</w:t>
      </w:r>
    </w:p>
    <w:p w14:paraId="213A7BEE" w14:textId="25C11F63" w:rsidR="00F25E5F" w:rsidRPr="003D3815" w:rsidRDefault="00F25E5F" w:rsidP="00F25E5F">
      <w:pPr>
        <w:ind w:left="720" w:hanging="720"/>
        <w:rPr>
          <w:rFonts w:cs="Arial"/>
        </w:rPr>
      </w:pPr>
      <w:r w:rsidRPr="003D3815">
        <w:rPr>
          <w:rFonts w:cs="Arial"/>
        </w:rPr>
        <w:t>3.</w:t>
      </w:r>
      <w:r w:rsidRPr="003D3815">
        <w:rPr>
          <w:rFonts w:cs="Arial"/>
        </w:rPr>
        <w:tab/>
        <w:t>The system shall include features that preserve privacy of identity data, including support for anonymous or pseudonymous access where risk factors allow; use of opaque identifiers; minimum exchange of</w:t>
      </w:r>
      <w:r w:rsidR="003C4E03" w:rsidRPr="003D3815">
        <w:rPr>
          <w:rFonts w:cs="Arial"/>
        </w:rPr>
        <w:t xml:space="preserve"> Personally Identifiable Information (PII)</w:t>
      </w:r>
      <w:r w:rsidRPr="003D3815">
        <w:rPr>
          <w:rFonts w:cs="Arial"/>
          <w:strike/>
        </w:rPr>
        <w:t xml:space="preserve"> PII</w:t>
      </w:r>
      <w:r w:rsidRPr="003D3815">
        <w:rPr>
          <w:rFonts w:cs="Arial"/>
        </w:rPr>
        <w:t xml:space="preserve"> </w:t>
      </w:r>
      <w:r w:rsidR="003C4E03" w:rsidRPr="003D3815">
        <w:rPr>
          <w:rFonts w:cs="Arial"/>
        </w:rPr>
        <w:t xml:space="preserve">a.k.a. Protected Health Information (PHI - in the US Realm) </w:t>
      </w:r>
      <w:r w:rsidRPr="003D3815">
        <w:rPr>
          <w:rFonts w:cs="Arial"/>
        </w:rPr>
        <w:t>not essential for authentication; and use of claims versus identifying attributes to support authorization.</w:t>
      </w:r>
    </w:p>
    <w:p w14:paraId="5BB11421" w14:textId="77777777" w:rsidR="00F25E5F" w:rsidRPr="003D3815" w:rsidRDefault="00F25E5F" w:rsidP="00F25E5F">
      <w:pPr>
        <w:ind w:left="720" w:hanging="720"/>
        <w:rPr>
          <w:rFonts w:cs="Arial"/>
        </w:rPr>
      </w:pPr>
      <w:r w:rsidRPr="003D3815">
        <w:rPr>
          <w:rFonts w:cs="Arial"/>
        </w:rPr>
        <w:t>4.</w:t>
      </w:r>
      <w:r w:rsidRPr="003D3815">
        <w:rPr>
          <w:rFonts w:cs="Arial"/>
        </w:rPr>
        <w:tab/>
        <w:t>To enable compliance audits and forensics, the system shall create, protect and support analysis of comprehensive logs of access requests, modifications to identity and privileges records, and modifications to the configuration of IAM system components. Integrity of distributed logs also requires time-stamping that is consistent across the environment.</w:t>
      </w:r>
    </w:p>
    <w:p w14:paraId="335E1872" w14:textId="77777777" w:rsidR="00F25E5F" w:rsidRPr="003D3815" w:rsidRDefault="00F25E5F" w:rsidP="00F25E5F">
      <w:pPr>
        <w:ind w:left="720" w:hanging="720"/>
        <w:rPr>
          <w:rFonts w:cs="Arial"/>
        </w:rPr>
      </w:pPr>
      <w:r w:rsidRPr="003D3815">
        <w:rPr>
          <w:rFonts w:cs="Arial"/>
        </w:rPr>
        <w:t>5.</w:t>
      </w:r>
      <w:r w:rsidRPr="003D3815">
        <w:rPr>
          <w:rFonts w:cs="Arial"/>
        </w:rPr>
        <w:tab/>
        <w:t>All features of the system shall be designed to maximize patient safety and to minimize healthcare providers’ liability arising from inaccurate, duplicate or conflicting identity information.</w:t>
      </w:r>
    </w:p>
    <w:p w14:paraId="3BDC9AD1" w14:textId="77777777" w:rsidR="00F25E5F" w:rsidRPr="003D3815" w:rsidRDefault="00F25E5F" w:rsidP="00F25E5F">
      <w:pPr>
        <w:ind w:left="720" w:hanging="720"/>
        <w:rPr>
          <w:rFonts w:cs="Arial"/>
        </w:rPr>
      </w:pPr>
      <w:r w:rsidRPr="003D3815">
        <w:rPr>
          <w:rFonts w:cs="Arial"/>
        </w:rPr>
        <w:t>6.</w:t>
      </w:r>
      <w:r w:rsidRPr="003D3815">
        <w:rPr>
          <w:rFonts w:cs="Arial"/>
        </w:rPr>
        <w:tab/>
        <w:t xml:space="preserve">The system shall support flexible, understandable and simple delegation of authority to a “proxy” to access healthcare information and functions. This includes support for simple and inexpensive creation of appropriately strong credentials for the designated proxy (or use of the proxy’s existing credentials that meet applicable standards (see Requirements 7 and 8 below) </w:t>
      </w:r>
    </w:p>
    <w:p w14:paraId="192C0FC2" w14:textId="77777777" w:rsidR="00F25E5F" w:rsidRPr="003D3815" w:rsidRDefault="00F25E5F" w:rsidP="00F25E5F">
      <w:pPr>
        <w:ind w:left="720" w:hanging="720"/>
        <w:rPr>
          <w:rFonts w:cs="Arial"/>
        </w:rPr>
      </w:pPr>
      <w:r w:rsidRPr="003D3815">
        <w:rPr>
          <w:rFonts w:cs="Arial"/>
        </w:rPr>
        <w:lastRenderedPageBreak/>
        <w:t>7.</w:t>
      </w:r>
      <w:r w:rsidRPr="003D3815">
        <w:rPr>
          <w:rFonts w:cs="Arial"/>
        </w:rPr>
        <w:tab/>
        <w:t>The system shall support authentication at NIST 800-63-3 AAL1 and AAL2, and federation of authenticators and attributes at FAL1 and FAL2. (Relying Party systems may choose not to accept federated authenticators or attributes.)</w:t>
      </w:r>
    </w:p>
    <w:p w14:paraId="4A65320F" w14:textId="47A1F9B1" w:rsidR="00F25E5F" w:rsidRPr="003D3815" w:rsidRDefault="00F25E5F" w:rsidP="00F25E5F">
      <w:pPr>
        <w:ind w:left="720" w:hanging="720"/>
        <w:rPr>
          <w:rFonts w:cs="Arial"/>
        </w:rPr>
      </w:pPr>
      <w:r w:rsidRPr="003D3815">
        <w:rPr>
          <w:rFonts w:cs="Arial"/>
        </w:rPr>
        <w:t>8.</w:t>
      </w:r>
      <w:r w:rsidRPr="003D3815">
        <w:rPr>
          <w:rFonts w:cs="Arial"/>
        </w:rPr>
        <w:tab/>
        <w:t>The system shall support identity proofing of subscribers (holders of acceptable authentication credentials) at</w:t>
      </w:r>
      <w:r w:rsidR="003C4E03" w:rsidRPr="003D3815">
        <w:rPr>
          <w:rFonts w:cs="Arial"/>
        </w:rPr>
        <w:t xml:space="preserve"> appropriate levels of risk mitigation (e.g. At</w:t>
      </w:r>
      <w:r w:rsidRPr="003D3815">
        <w:rPr>
          <w:rFonts w:cs="Arial"/>
        </w:rPr>
        <w:t xml:space="preserve"> NIST 800-63-3 IAL1 and </w:t>
      </w:r>
      <w:r w:rsidR="006040F3" w:rsidRPr="003D3815">
        <w:rPr>
          <w:rFonts w:cs="Arial"/>
        </w:rPr>
        <w:t>IAL2 and</w:t>
      </w:r>
      <w:r w:rsidRPr="003D3815">
        <w:rPr>
          <w:rFonts w:cs="Arial"/>
        </w:rPr>
        <w:t xml:space="preserve"> include a mechanism for IdPs to convey the IAL of a subscriber’s identity securely to Relying Parties.</w:t>
      </w:r>
    </w:p>
    <w:p w14:paraId="273E4636" w14:textId="77777777" w:rsidR="00F25E5F" w:rsidRPr="003D3815" w:rsidRDefault="00F25E5F" w:rsidP="00F25E5F">
      <w:pPr>
        <w:ind w:left="720" w:hanging="720"/>
        <w:rPr>
          <w:rFonts w:cs="Arial"/>
        </w:rPr>
      </w:pPr>
      <w:r w:rsidRPr="003D3815">
        <w:rPr>
          <w:rFonts w:cs="Arial"/>
        </w:rPr>
        <w:t>9.</w:t>
      </w:r>
      <w:r w:rsidRPr="003D3815">
        <w:rPr>
          <w:rFonts w:cs="Arial"/>
        </w:rPr>
        <w:tab/>
        <w:t xml:space="preserve">The system shall be resilient, with the ability to sustain critical healthcare operations and to recover quickly in the event of accidental damage, natural disaster or malicious attack.  </w:t>
      </w:r>
    </w:p>
    <w:p w14:paraId="5F9CDDAB" w14:textId="1A0F83F3" w:rsidR="00C330AB" w:rsidRPr="003D3815" w:rsidRDefault="00F25E5F" w:rsidP="00F25E5F">
      <w:pPr>
        <w:ind w:left="720" w:hanging="720"/>
        <w:rPr>
          <w:rFonts w:cs="Arial"/>
        </w:rPr>
      </w:pPr>
      <w:r w:rsidRPr="003D3815">
        <w:rPr>
          <w:rFonts w:cs="Arial"/>
        </w:rPr>
        <w:t>10.</w:t>
      </w:r>
      <w:r w:rsidRPr="003D3815">
        <w:rPr>
          <w:rFonts w:cs="Arial"/>
        </w:rPr>
        <w:tab/>
        <w:t>The system shall support effective redress via technological features, contractual agreements, and (if necessary) regulations to assign and enforce liability for intentional identity fraud, negligence, or failure to observe agreed obligations assumed as a participant in the healthcare IAM environment.  Liability insurance is recommended in addition or as an alternative to the statuary requirement.</w:t>
      </w:r>
    </w:p>
    <w:p w14:paraId="30ABEB86" w14:textId="77777777" w:rsidR="003D3815" w:rsidRPr="003D3815" w:rsidRDefault="003D3815" w:rsidP="003D3815">
      <w:pPr>
        <w:pStyle w:val="Heading1"/>
        <w:numPr>
          <w:ilvl w:val="0"/>
          <w:numId w:val="12"/>
        </w:numPr>
      </w:pPr>
      <w:r w:rsidRPr="003D3815">
        <w:lastRenderedPageBreak/>
        <w:t>Alignment of HIAWG DeSIGN Goals with NSTIC Principles</w:t>
      </w:r>
    </w:p>
    <w:p w14:paraId="4E774474" w14:textId="77777777" w:rsidR="003D3815" w:rsidRPr="003D3815" w:rsidRDefault="003D3815" w:rsidP="003D3815">
      <w:pPr>
        <w:rPr>
          <w:rFonts w:cs="Arial"/>
        </w:rPr>
      </w:pPr>
      <w:r w:rsidRPr="003D3815" w:rsidDel="006C6DE4">
        <w:rPr>
          <w:strike/>
        </w:rPr>
        <w:t xml:space="preserve"> </w:t>
      </w:r>
      <w:r w:rsidRPr="003D3815">
        <w:rPr>
          <w:rFonts w:cs="Arial"/>
          <w:shd w:val="clear" w:color="auto" w:fill="FFFFFF"/>
        </w:rPr>
        <w:t>“To “kick start” development of the global architecture we prepared a spreadsheet map or comparison with the US federal sector-initiated Identity design principles in the generic non healthcare space (NSTIC), e.g. all eCommerce. </w:t>
      </w:r>
      <w:r w:rsidRPr="003D3815">
        <w:rPr>
          <w:rFonts w:cs="Arial"/>
          <w:bdr w:val="none" w:sz="0" w:space="0" w:color="auto" w:frame="1"/>
        </w:rPr>
        <w:t> </w:t>
      </w:r>
      <w:r w:rsidRPr="003D3815">
        <w:rPr>
          <w:rFonts w:cs="Arial"/>
          <w:shd w:val="clear" w:color="auto" w:fill="FFFFFF"/>
        </w:rPr>
        <w:t>This spreadsheet helps clearly illustrate the differences </w:t>
      </w:r>
      <w:r w:rsidRPr="003D3815">
        <w:rPr>
          <w:rFonts w:cs="Arial"/>
          <w:bdr w:val="none" w:sz="0" w:space="0" w:color="auto" w:frame="1"/>
        </w:rPr>
        <w:t> </w:t>
      </w:r>
      <w:r w:rsidRPr="003D3815">
        <w:rPr>
          <w:rFonts w:cs="Arial"/>
          <w:shd w:val="clear" w:color="auto" w:fill="FFFFFF"/>
        </w:rPr>
        <w:t>between identity considerations in the healthcare Industry and all other regulated industries, e.g. banking and finance.“</w:t>
      </w:r>
    </w:p>
    <w:p w14:paraId="5089E8A3" w14:textId="77777777" w:rsidR="003D3815" w:rsidRPr="003D3815" w:rsidRDefault="003D3815" w:rsidP="003D3815">
      <w:r w:rsidRPr="003D3815">
        <w:t xml:space="preserve"> As indicated by the predominance of green shading in the table below, there is a high degree of alignment between the HIAWG design goals (i.e., high-level business requirements) and the Principles of the National Strategy for Trusted Identities in Cyberspace. The areas of weakest alignment (as indicated by the number of yellow or red cells) are to NSTIC Principles “Voluntary” (table column 2) and “Cost-Effective” (column 6.) As a generalization, areas of non-alignment seem mainly due to the healthcare sector’s relatively stringent requirements for inter-operability and identity security. These requirements in turn add cost to an identity architecture for the sector. </w:t>
      </w:r>
    </w:p>
    <w:p w14:paraId="2AA26A39" w14:textId="77777777" w:rsidR="006E1978" w:rsidRPr="003D3815" w:rsidRDefault="006E1978" w:rsidP="00F25E5F">
      <w:pPr>
        <w:pStyle w:val="Heading1"/>
        <w:sectPr w:rsidR="006E1978" w:rsidRPr="003D3815" w:rsidSect="003D3815">
          <w:headerReference w:type="even" r:id="rId13"/>
          <w:headerReference w:type="default" r:id="rId14"/>
          <w:footerReference w:type="even" r:id="rId15"/>
          <w:footerReference w:type="default" r:id="rId16"/>
          <w:headerReference w:type="first" r:id="rId17"/>
          <w:footerReference w:type="first" r:id="rId18"/>
          <w:pgSz w:w="12240" w:h="15840"/>
          <w:pgMar w:top="720" w:right="990" w:bottom="1440" w:left="1260" w:header="706" w:footer="706" w:gutter="0"/>
          <w:lnNumType w:countBy="1" w:restart="continuous"/>
          <w:cols w:space="708"/>
          <w:titlePg/>
          <w:docGrid w:linePitch="360"/>
        </w:sectPr>
      </w:pPr>
    </w:p>
    <w:p w14:paraId="715EC6A2" w14:textId="60E1A671" w:rsidR="00FB2319" w:rsidRPr="003D3815" w:rsidRDefault="00FB2319" w:rsidP="00FB2319">
      <w:pPr>
        <w:spacing w:before="0" w:after="160" w:line="259" w:lineRule="auto"/>
        <w:jc w:val="center"/>
        <w:rPr>
          <w:rFonts w:eastAsia="Calibri" w:cs="Arial"/>
          <w:b/>
          <w:bCs/>
          <w:sz w:val="28"/>
          <w:szCs w:val="28"/>
        </w:rPr>
      </w:pPr>
      <w:r w:rsidRPr="003D3815">
        <w:rPr>
          <w:rFonts w:eastAsia="Calibri" w:cs="Arial"/>
          <w:b/>
          <w:bCs/>
          <w:sz w:val="28"/>
          <w:szCs w:val="28"/>
        </w:rPr>
        <w:lastRenderedPageBreak/>
        <w:t xml:space="preserve">Table 1.--Mapping of Kantara Health ID Assurance WG (HIAWG) Requirements </w:t>
      </w:r>
      <w:r w:rsidR="00BE7398" w:rsidRPr="003D3815">
        <w:rPr>
          <w:rFonts w:eastAsia="Calibri" w:cs="Arial"/>
          <w:b/>
          <w:bCs/>
          <w:sz w:val="28"/>
          <w:szCs w:val="28"/>
        </w:rPr>
        <w:t>to</w:t>
      </w:r>
      <w:r w:rsidRPr="003D3815">
        <w:rPr>
          <w:rFonts w:eastAsia="Calibri" w:cs="Arial"/>
          <w:b/>
          <w:bCs/>
          <w:sz w:val="28"/>
          <w:szCs w:val="28"/>
        </w:rPr>
        <w:t xml:space="preserve"> NSTIC Principles</w:t>
      </w:r>
    </w:p>
    <w:tbl>
      <w:tblPr>
        <w:tblStyle w:val="TableGrid1"/>
        <w:tblW w:w="13369" w:type="dxa"/>
        <w:tblLook w:val="04A0" w:firstRow="1" w:lastRow="0" w:firstColumn="1" w:lastColumn="0" w:noHBand="0" w:noVBand="1"/>
      </w:tblPr>
      <w:tblGrid>
        <w:gridCol w:w="2408"/>
        <w:gridCol w:w="583"/>
        <w:gridCol w:w="1155"/>
        <w:gridCol w:w="1122"/>
        <w:gridCol w:w="846"/>
        <w:gridCol w:w="1016"/>
        <w:gridCol w:w="1475"/>
        <w:gridCol w:w="1011"/>
        <w:gridCol w:w="749"/>
        <w:gridCol w:w="3004"/>
      </w:tblGrid>
      <w:tr w:rsidR="00FB2319" w:rsidRPr="003D3815" w14:paraId="59B75692" w14:textId="77777777" w:rsidTr="00BE7398">
        <w:trPr>
          <w:cantSplit/>
          <w:trHeight w:val="1088"/>
          <w:tblHeader/>
        </w:trPr>
        <w:tc>
          <w:tcPr>
            <w:tcW w:w="2265" w:type="dxa"/>
            <w:noWrap/>
            <w:hideMark/>
          </w:tcPr>
          <w:p w14:paraId="5BF717FB" w14:textId="77777777" w:rsidR="00FB2319" w:rsidRPr="003D3815" w:rsidRDefault="00FB2319" w:rsidP="00FB2319">
            <w:pPr>
              <w:spacing w:before="0" w:after="0" w:line="240" w:lineRule="auto"/>
              <w:jc w:val="center"/>
              <w:rPr>
                <w:rFonts w:ascii="Calibri" w:eastAsia="Calibri" w:hAnsi="Calibri" w:cs="Times New Roman"/>
                <w:b/>
                <w:bCs/>
              </w:rPr>
            </w:pPr>
          </w:p>
        </w:tc>
        <w:tc>
          <w:tcPr>
            <w:tcW w:w="608" w:type="dxa"/>
            <w:shd w:val="clear" w:color="auto" w:fill="D9D9D9"/>
            <w:textDirection w:val="tbRl"/>
          </w:tcPr>
          <w:p w14:paraId="315FDE03" w14:textId="77777777" w:rsidR="00FB2319" w:rsidRPr="003D3815" w:rsidRDefault="00FB2319" w:rsidP="00FB2319">
            <w:pPr>
              <w:spacing w:before="0" w:after="0" w:line="240" w:lineRule="auto"/>
              <w:ind w:left="113" w:right="113"/>
              <w:jc w:val="center"/>
              <w:rPr>
                <w:rFonts w:ascii="Calibri" w:eastAsia="Calibri" w:hAnsi="Calibri" w:cs="Times New Roman"/>
                <w:b/>
                <w:bCs/>
              </w:rPr>
            </w:pPr>
            <w:r w:rsidRPr="003D3815">
              <w:rPr>
                <w:rFonts w:ascii="Calibri" w:eastAsia="Calibri" w:hAnsi="Calibri" w:cs="Times New Roman"/>
                <w:b/>
                <w:bCs/>
              </w:rPr>
              <w:t>NSTIC Principle</w:t>
            </w:r>
          </w:p>
        </w:tc>
        <w:tc>
          <w:tcPr>
            <w:tcW w:w="1151" w:type="dxa"/>
            <w:shd w:val="clear" w:color="auto" w:fill="D9D9D9"/>
            <w:noWrap/>
            <w:hideMark/>
          </w:tcPr>
          <w:p w14:paraId="45D4ED29" w14:textId="77777777" w:rsidR="00FB2319" w:rsidRPr="003D3815" w:rsidRDefault="00FB2319" w:rsidP="00FB2319">
            <w:pPr>
              <w:spacing w:before="0" w:after="0" w:line="240" w:lineRule="auto"/>
              <w:jc w:val="center"/>
              <w:rPr>
                <w:rFonts w:ascii="Calibri" w:eastAsia="Calibri" w:hAnsi="Calibri" w:cs="Times New Roman"/>
                <w:b/>
                <w:bCs/>
              </w:rPr>
            </w:pPr>
          </w:p>
          <w:p w14:paraId="149B1018"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Privacy Enhancing</w:t>
            </w:r>
          </w:p>
        </w:tc>
        <w:tc>
          <w:tcPr>
            <w:tcW w:w="1100" w:type="dxa"/>
            <w:shd w:val="clear" w:color="auto" w:fill="D9D9D9"/>
            <w:hideMark/>
          </w:tcPr>
          <w:p w14:paraId="1BC5262A" w14:textId="77777777" w:rsidR="00FB2319" w:rsidRPr="003D3815" w:rsidRDefault="00FB2319" w:rsidP="00FB2319">
            <w:pPr>
              <w:spacing w:before="0" w:after="0" w:line="240" w:lineRule="auto"/>
              <w:jc w:val="center"/>
              <w:rPr>
                <w:rFonts w:ascii="Calibri" w:eastAsia="Calibri" w:hAnsi="Calibri" w:cs="Times New Roman"/>
                <w:b/>
                <w:bCs/>
              </w:rPr>
            </w:pPr>
          </w:p>
          <w:p w14:paraId="7555CAA2" w14:textId="77777777" w:rsidR="00FB2319" w:rsidRPr="003D3815" w:rsidRDefault="00FB2319" w:rsidP="00FB2319">
            <w:pPr>
              <w:spacing w:before="0" w:after="0" w:line="240" w:lineRule="auto"/>
              <w:jc w:val="center"/>
              <w:rPr>
                <w:rFonts w:ascii="Calibri" w:eastAsia="Calibri" w:hAnsi="Calibri" w:cs="Times New Roman"/>
                <w:b/>
                <w:bCs/>
              </w:rPr>
            </w:pPr>
          </w:p>
          <w:p w14:paraId="774B9D96"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Voluntary</w:t>
            </w:r>
          </w:p>
        </w:tc>
        <w:tc>
          <w:tcPr>
            <w:tcW w:w="846" w:type="dxa"/>
            <w:shd w:val="clear" w:color="auto" w:fill="D9D9D9"/>
            <w:hideMark/>
          </w:tcPr>
          <w:p w14:paraId="2AE983B2" w14:textId="77777777" w:rsidR="00FB2319" w:rsidRPr="003D3815" w:rsidRDefault="00FB2319" w:rsidP="00FB2319">
            <w:pPr>
              <w:spacing w:before="0" w:after="0" w:line="240" w:lineRule="auto"/>
              <w:jc w:val="center"/>
              <w:rPr>
                <w:rFonts w:ascii="Calibri" w:eastAsia="Calibri" w:hAnsi="Calibri" w:cs="Times New Roman"/>
                <w:b/>
                <w:bCs/>
              </w:rPr>
            </w:pPr>
          </w:p>
          <w:p w14:paraId="5B6E1569" w14:textId="77777777" w:rsidR="00FB2319" w:rsidRPr="003D3815" w:rsidRDefault="00FB2319" w:rsidP="00FB2319">
            <w:pPr>
              <w:spacing w:before="0" w:after="0" w:line="240" w:lineRule="auto"/>
              <w:jc w:val="center"/>
              <w:rPr>
                <w:rFonts w:ascii="Calibri" w:eastAsia="Calibri" w:hAnsi="Calibri" w:cs="Times New Roman"/>
                <w:b/>
                <w:bCs/>
              </w:rPr>
            </w:pPr>
          </w:p>
          <w:p w14:paraId="29383D81"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Secure</w:t>
            </w:r>
          </w:p>
        </w:tc>
        <w:tc>
          <w:tcPr>
            <w:tcW w:w="1016" w:type="dxa"/>
            <w:shd w:val="clear" w:color="auto" w:fill="D9D9D9"/>
            <w:hideMark/>
          </w:tcPr>
          <w:p w14:paraId="6D9C47F7" w14:textId="77777777" w:rsidR="00FB2319" w:rsidRPr="003D3815" w:rsidRDefault="00FB2319" w:rsidP="00FB2319">
            <w:pPr>
              <w:spacing w:before="0" w:after="0" w:line="240" w:lineRule="auto"/>
              <w:jc w:val="center"/>
              <w:rPr>
                <w:rFonts w:ascii="Calibri" w:eastAsia="Calibri" w:hAnsi="Calibri" w:cs="Times New Roman"/>
                <w:b/>
                <w:bCs/>
              </w:rPr>
            </w:pPr>
          </w:p>
          <w:p w14:paraId="1F81C139" w14:textId="77777777" w:rsidR="00FB2319" w:rsidRPr="003D3815" w:rsidRDefault="00FB2319" w:rsidP="00FB2319">
            <w:pPr>
              <w:spacing w:before="0" w:after="0" w:line="240" w:lineRule="auto"/>
              <w:jc w:val="center"/>
              <w:rPr>
                <w:rFonts w:ascii="Calibri" w:eastAsia="Calibri" w:hAnsi="Calibri" w:cs="Times New Roman"/>
                <w:b/>
                <w:bCs/>
              </w:rPr>
            </w:pPr>
          </w:p>
          <w:p w14:paraId="4FDE7029"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Resilient</w:t>
            </w:r>
          </w:p>
        </w:tc>
        <w:tc>
          <w:tcPr>
            <w:tcW w:w="1387" w:type="dxa"/>
            <w:shd w:val="clear" w:color="auto" w:fill="D9D9D9"/>
            <w:hideMark/>
          </w:tcPr>
          <w:p w14:paraId="2381C789" w14:textId="77777777" w:rsidR="00FB2319" w:rsidRPr="003D3815" w:rsidRDefault="00FB2319" w:rsidP="00FB2319">
            <w:pPr>
              <w:spacing w:before="0" w:after="0" w:line="240" w:lineRule="auto"/>
              <w:jc w:val="center"/>
              <w:rPr>
                <w:rFonts w:ascii="Calibri" w:eastAsia="Calibri" w:hAnsi="Calibri" w:cs="Times New Roman"/>
                <w:b/>
                <w:bCs/>
              </w:rPr>
            </w:pPr>
          </w:p>
          <w:p w14:paraId="44D0A929" w14:textId="77777777" w:rsidR="00FB2319" w:rsidRPr="003D3815" w:rsidRDefault="00FB2319" w:rsidP="00FB2319">
            <w:pPr>
              <w:spacing w:before="0" w:after="0" w:line="240" w:lineRule="auto"/>
              <w:jc w:val="center"/>
              <w:rPr>
                <w:rFonts w:ascii="Calibri" w:eastAsia="Calibri" w:hAnsi="Calibri" w:cs="Times New Roman"/>
                <w:b/>
                <w:bCs/>
              </w:rPr>
            </w:pPr>
          </w:p>
          <w:p w14:paraId="13F6744C"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Interoperable</w:t>
            </w:r>
          </w:p>
        </w:tc>
        <w:tc>
          <w:tcPr>
            <w:tcW w:w="951" w:type="dxa"/>
            <w:shd w:val="clear" w:color="auto" w:fill="D9D9D9"/>
            <w:hideMark/>
          </w:tcPr>
          <w:p w14:paraId="70D83863" w14:textId="77777777" w:rsidR="00FB2319" w:rsidRPr="003D3815" w:rsidRDefault="00FB2319" w:rsidP="00FB2319">
            <w:pPr>
              <w:spacing w:before="0" w:after="0" w:line="240" w:lineRule="auto"/>
              <w:jc w:val="center"/>
              <w:rPr>
                <w:rFonts w:ascii="Calibri" w:eastAsia="Calibri" w:hAnsi="Calibri" w:cs="Times New Roman"/>
                <w:b/>
                <w:bCs/>
              </w:rPr>
            </w:pPr>
          </w:p>
          <w:p w14:paraId="31F81152"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Cost Effective</w:t>
            </w:r>
          </w:p>
        </w:tc>
        <w:tc>
          <w:tcPr>
            <w:tcW w:w="749" w:type="dxa"/>
            <w:shd w:val="clear" w:color="auto" w:fill="D9D9D9"/>
            <w:hideMark/>
          </w:tcPr>
          <w:p w14:paraId="14BD4B3C" w14:textId="03E16CE2"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 xml:space="preserve">Easy </w:t>
            </w:r>
            <w:r w:rsidR="00BE7398" w:rsidRPr="003D3815">
              <w:rPr>
                <w:rFonts w:ascii="Calibri" w:eastAsia="Calibri" w:hAnsi="Calibri" w:cs="Times New Roman"/>
                <w:b/>
                <w:bCs/>
              </w:rPr>
              <w:t>t</w:t>
            </w:r>
            <w:r w:rsidRPr="003D3815">
              <w:rPr>
                <w:rFonts w:ascii="Calibri" w:eastAsia="Calibri" w:hAnsi="Calibri" w:cs="Times New Roman"/>
                <w:b/>
                <w:bCs/>
              </w:rPr>
              <w:t>o Use</w:t>
            </w:r>
          </w:p>
        </w:tc>
        <w:tc>
          <w:tcPr>
            <w:tcW w:w="3296" w:type="dxa"/>
            <w:hideMark/>
          </w:tcPr>
          <w:p w14:paraId="3CFC0B79" w14:textId="77777777" w:rsidR="00FB2319" w:rsidRPr="003D3815" w:rsidRDefault="00FB2319" w:rsidP="00FB2319">
            <w:pPr>
              <w:spacing w:before="0" w:after="0" w:line="240" w:lineRule="auto"/>
              <w:jc w:val="center"/>
              <w:rPr>
                <w:rFonts w:ascii="Calibri" w:eastAsia="Calibri" w:hAnsi="Calibri" w:cs="Times New Roman"/>
                <w:b/>
                <w:bCs/>
              </w:rPr>
            </w:pPr>
          </w:p>
          <w:p w14:paraId="2C50F028" w14:textId="77777777" w:rsidR="00FB2319" w:rsidRPr="003D3815" w:rsidRDefault="00FB2319" w:rsidP="00FB2319">
            <w:pPr>
              <w:spacing w:before="0" w:after="0" w:line="240" w:lineRule="auto"/>
              <w:jc w:val="center"/>
              <w:rPr>
                <w:rFonts w:ascii="Calibri" w:eastAsia="Calibri" w:hAnsi="Calibri" w:cs="Times New Roman"/>
                <w:b/>
                <w:bCs/>
              </w:rPr>
            </w:pPr>
          </w:p>
          <w:p w14:paraId="381A0825"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Comments</w:t>
            </w:r>
          </w:p>
        </w:tc>
      </w:tr>
      <w:tr w:rsidR="00FB2319" w:rsidRPr="003D3815" w14:paraId="3DC8F6B0" w14:textId="77777777" w:rsidTr="00BE7398">
        <w:trPr>
          <w:trHeight w:val="120"/>
          <w:tblHeader/>
        </w:trPr>
        <w:tc>
          <w:tcPr>
            <w:tcW w:w="2265" w:type="dxa"/>
            <w:shd w:val="clear" w:color="auto" w:fill="D9D9D9"/>
            <w:noWrap/>
            <w:hideMark/>
          </w:tcPr>
          <w:p w14:paraId="698104CA"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HIAWG Design Goal</w:t>
            </w:r>
          </w:p>
        </w:tc>
        <w:tc>
          <w:tcPr>
            <w:tcW w:w="608" w:type="dxa"/>
          </w:tcPr>
          <w:p w14:paraId="15A1ACDA" w14:textId="77777777" w:rsidR="00FB2319" w:rsidRPr="003D3815" w:rsidRDefault="00FB2319" w:rsidP="00FB2319">
            <w:pPr>
              <w:spacing w:before="0" w:after="0" w:line="240" w:lineRule="auto"/>
              <w:jc w:val="center"/>
              <w:rPr>
                <w:rFonts w:ascii="Calibri" w:eastAsia="Calibri" w:hAnsi="Calibri" w:cs="Times New Roman"/>
              </w:rPr>
            </w:pPr>
          </w:p>
        </w:tc>
        <w:tc>
          <w:tcPr>
            <w:tcW w:w="1151" w:type="dxa"/>
            <w:noWrap/>
            <w:hideMark/>
          </w:tcPr>
          <w:p w14:paraId="7670D725" w14:textId="77777777" w:rsidR="00FB2319" w:rsidRPr="003D3815" w:rsidRDefault="00FB2319" w:rsidP="00FB2319">
            <w:pPr>
              <w:spacing w:before="0" w:after="0" w:line="240" w:lineRule="auto"/>
              <w:jc w:val="center"/>
              <w:rPr>
                <w:rFonts w:ascii="Calibri" w:eastAsia="Calibri" w:hAnsi="Calibri" w:cs="Times New Roman"/>
              </w:rPr>
            </w:pPr>
            <w:r w:rsidRPr="003D3815">
              <w:rPr>
                <w:rFonts w:ascii="Calibri" w:eastAsia="Calibri" w:hAnsi="Calibri" w:cs="Times New Roman"/>
              </w:rPr>
              <w:t>1</w:t>
            </w:r>
          </w:p>
        </w:tc>
        <w:tc>
          <w:tcPr>
            <w:tcW w:w="1100" w:type="dxa"/>
            <w:noWrap/>
            <w:hideMark/>
          </w:tcPr>
          <w:p w14:paraId="61FAB03C" w14:textId="77777777" w:rsidR="00FB2319" w:rsidRPr="003D3815" w:rsidRDefault="00FB2319" w:rsidP="00FB2319">
            <w:pPr>
              <w:spacing w:before="0" w:after="0" w:line="240" w:lineRule="auto"/>
              <w:jc w:val="center"/>
              <w:rPr>
                <w:rFonts w:ascii="Calibri" w:eastAsia="Calibri" w:hAnsi="Calibri" w:cs="Times New Roman"/>
              </w:rPr>
            </w:pPr>
            <w:r w:rsidRPr="003D3815">
              <w:rPr>
                <w:rFonts w:ascii="Calibri" w:eastAsia="Calibri" w:hAnsi="Calibri" w:cs="Times New Roman"/>
              </w:rPr>
              <w:t>2</w:t>
            </w:r>
          </w:p>
        </w:tc>
        <w:tc>
          <w:tcPr>
            <w:tcW w:w="846" w:type="dxa"/>
            <w:noWrap/>
            <w:hideMark/>
          </w:tcPr>
          <w:p w14:paraId="6947C922" w14:textId="77777777" w:rsidR="00FB2319" w:rsidRPr="003D3815" w:rsidRDefault="00FB2319" w:rsidP="00FB2319">
            <w:pPr>
              <w:spacing w:before="0" w:after="0" w:line="240" w:lineRule="auto"/>
              <w:jc w:val="center"/>
              <w:rPr>
                <w:rFonts w:ascii="Calibri" w:eastAsia="Calibri" w:hAnsi="Calibri" w:cs="Times New Roman"/>
              </w:rPr>
            </w:pPr>
            <w:r w:rsidRPr="003D3815">
              <w:rPr>
                <w:rFonts w:ascii="Calibri" w:eastAsia="Calibri" w:hAnsi="Calibri" w:cs="Times New Roman"/>
              </w:rPr>
              <w:t>3</w:t>
            </w:r>
          </w:p>
        </w:tc>
        <w:tc>
          <w:tcPr>
            <w:tcW w:w="1016" w:type="dxa"/>
            <w:noWrap/>
            <w:hideMark/>
          </w:tcPr>
          <w:p w14:paraId="01FC074E" w14:textId="77777777" w:rsidR="00FB2319" w:rsidRPr="003D3815" w:rsidRDefault="00FB2319" w:rsidP="00FB2319">
            <w:pPr>
              <w:spacing w:before="0" w:after="0" w:line="240" w:lineRule="auto"/>
              <w:jc w:val="center"/>
              <w:rPr>
                <w:rFonts w:ascii="Calibri" w:eastAsia="Calibri" w:hAnsi="Calibri" w:cs="Times New Roman"/>
              </w:rPr>
            </w:pPr>
            <w:r w:rsidRPr="003D3815">
              <w:rPr>
                <w:rFonts w:ascii="Calibri" w:eastAsia="Calibri" w:hAnsi="Calibri" w:cs="Times New Roman"/>
              </w:rPr>
              <w:t>4</w:t>
            </w:r>
          </w:p>
        </w:tc>
        <w:tc>
          <w:tcPr>
            <w:tcW w:w="1387" w:type="dxa"/>
            <w:noWrap/>
            <w:hideMark/>
          </w:tcPr>
          <w:p w14:paraId="3CB0E8AB" w14:textId="77777777" w:rsidR="00FB2319" w:rsidRPr="003D3815" w:rsidRDefault="00FB2319" w:rsidP="00FB2319">
            <w:pPr>
              <w:spacing w:before="0" w:after="0" w:line="240" w:lineRule="auto"/>
              <w:jc w:val="center"/>
              <w:rPr>
                <w:rFonts w:ascii="Calibri" w:eastAsia="Calibri" w:hAnsi="Calibri" w:cs="Times New Roman"/>
              </w:rPr>
            </w:pPr>
            <w:r w:rsidRPr="003D3815">
              <w:rPr>
                <w:rFonts w:ascii="Calibri" w:eastAsia="Calibri" w:hAnsi="Calibri" w:cs="Times New Roman"/>
              </w:rPr>
              <w:t>5</w:t>
            </w:r>
          </w:p>
        </w:tc>
        <w:tc>
          <w:tcPr>
            <w:tcW w:w="951" w:type="dxa"/>
            <w:noWrap/>
            <w:hideMark/>
          </w:tcPr>
          <w:p w14:paraId="69DABDD7" w14:textId="77777777" w:rsidR="00FB2319" w:rsidRPr="003D3815" w:rsidRDefault="00FB2319" w:rsidP="00FB2319">
            <w:pPr>
              <w:spacing w:before="0" w:after="0" w:line="240" w:lineRule="auto"/>
              <w:jc w:val="center"/>
              <w:rPr>
                <w:rFonts w:ascii="Calibri" w:eastAsia="Calibri" w:hAnsi="Calibri" w:cs="Times New Roman"/>
              </w:rPr>
            </w:pPr>
            <w:r w:rsidRPr="003D3815">
              <w:rPr>
                <w:rFonts w:ascii="Calibri" w:eastAsia="Calibri" w:hAnsi="Calibri" w:cs="Times New Roman"/>
              </w:rPr>
              <w:t>6</w:t>
            </w:r>
          </w:p>
        </w:tc>
        <w:tc>
          <w:tcPr>
            <w:tcW w:w="749" w:type="dxa"/>
            <w:noWrap/>
            <w:hideMark/>
          </w:tcPr>
          <w:p w14:paraId="07B1CA29" w14:textId="77777777" w:rsidR="00FB2319" w:rsidRPr="003D3815" w:rsidRDefault="00FB2319" w:rsidP="00FB2319">
            <w:pPr>
              <w:spacing w:before="0" w:after="0" w:line="240" w:lineRule="auto"/>
              <w:jc w:val="center"/>
              <w:rPr>
                <w:rFonts w:ascii="Calibri" w:eastAsia="Calibri" w:hAnsi="Calibri" w:cs="Times New Roman"/>
              </w:rPr>
            </w:pPr>
            <w:r w:rsidRPr="003D3815">
              <w:rPr>
                <w:rFonts w:ascii="Calibri" w:eastAsia="Calibri" w:hAnsi="Calibri" w:cs="Times New Roman"/>
              </w:rPr>
              <w:t>7</w:t>
            </w:r>
          </w:p>
        </w:tc>
        <w:tc>
          <w:tcPr>
            <w:tcW w:w="3296" w:type="dxa"/>
            <w:hideMark/>
          </w:tcPr>
          <w:p w14:paraId="4AA52D55" w14:textId="77777777" w:rsidR="00FB2319" w:rsidRPr="003D3815" w:rsidRDefault="00FB2319" w:rsidP="00FB2319">
            <w:pPr>
              <w:spacing w:before="0" w:after="0" w:line="240" w:lineRule="auto"/>
              <w:jc w:val="center"/>
              <w:rPr>
                <w:rFonts w:ascii="Calibri" w:eastAsia="Calibri" w:hAnsi="Calibri" w:cs="Times New Roman"/>
              </w:rPr>
            </w:pPr>
          </w:p>
        </w:tc>
      </w:tr>
      <w:tr w:rsidR="00FB2319" w:rsidRPr="003D3815" w14:paraId="02C26B74" w14:textId="77777777" w:rsidTr="00BE7398">
        <w:trPr>
          <w:trHeight w:val="288"/>
        </w:trPr>
        <w:tc>
          <w:tcPr>
            <w:tcW w:w="2265" w:type="dxa"/>
            <w:shd w:val="clear" w:color="auto" w:fill="D9D9D9"/>
            <w:noWrap/>
            <w:hideMark/>
          </w:tcPr>
          <w:p w14:paraId="61AC8B7D"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100% Accuracy ID Match</w:t>
            </w:r>
          </w:p>
        </w:tc>
        <w:tc>
          <w:tcPr>
            <w:tcW w:w="608" w:type="dxa"/>
          </w:tcPr>
          <w:p w14:paraId="3370142D"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A</w:t>
            </w:r>
          </w:p>
        </w:tc>
        <w:tc>
          <w:tcPr>
            <w:tcW w:w="1151" w:type="dxa"/>
            <w:shd w:val="clear" w:color="auto" w:fill="00B050"/>
            <w:noWrap/>
            <w:hideMark/>
          </w:tcPr>
          <w:p w14:paraId="6DC2CD0C"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Y-1</w:t>
            </w:r>
          </w:p>
        </w:tc>
        <w:tc>
          <w:tcPr>
            <w:tcW w:w="1100" w:type="dxa"/>
            <w:shd w:val="clear" w:color="auto" w:fill="FFFF00"/>
            <w:noWrap/>
            <w:hideMark/>
          </w:tcPr>
          <w:p w14:paraId="6541493B"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N/A</w:t>
            </w:r>
          </w:p>
        </w:tc>
        <w:tc>
          <w:tcPr>
            <w:tcW w:w="846" w:type="dxa"/>
            <w:shd w:val="clear" w:color="auto" w:fill="00B050"/>
            <w:noWrap/>
            <w:hideMark/>
          </w:tcPr>
          <w:p w14:paraId="14A350A6"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 - 3</w:t>
            </w:r>
          </w:p>
        </w:tc>
        <w:tc>
          <w:tcPr>
            <w:tcW w:w="1016" w:type="dxa"/>
            <w:shd w:val="clear" w:color="auto" w:fill="00B050"/>
            <w:noWrap/>
            <w:hideMark/>
          </w:tcPr>
          <w:p w14:paraId="5859BF94"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Y-3</w:t>
            </w:r>
          </w:p>
        </w:tc>
        <w:tc>
          <w:tcPr>
            <w:tcW w:w="1387" w:type="dxa"/>
            <w:shd w:val="clear" w:color="auto" w:fill="00B050"/>
            <w:noWrap/>
            <w:hideMark/>
          </w:tcPr>
          <w:p w14:paraId="0617715A"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Y-4</w:t>
            </w:r>
          </w:p>
        </w:tc>
        <w:tc>
          <w:tcPr>
            <w:tcW w:w="951" w:type="dxa"/>
            <w:shd w:val="clear" w:color="auto" w:fill="FF0000"/>
            <w:noWrap/>
            <w:hideMark/>
          </w:tcPr>
          <w:p w14:paraId="4C644257" w14:textId="77777777" w:rsidR="00FB2319" w:rsidRPr="003D3815" w:rsidRDefault="00FB2319" w:rsidP="00FB2319">
            <w:pPr>
              <w:spacing w:before="0" w:after="0" w:line="240" w:lineRule="auto"/>
              <w:jc w:val="center"/>
              <w:rPr>
                <w:rFonts w:ascii="Calibri" w:eastAsia="Calibri" w:hAnsi="Calibri" w:cs="Times New Roman"/>
                <w:b/>
                <w:bCs/>
                <w:color w:val="FF0000"/>
              </w:rPr>
            </w:pPr>
            <w:r w:rsidRPr="003D3815">
              <w:rPr>
                <w:rFonts w:ascii="Calibri" w:eastAsia="Calibri" w:hAnsi="Calibri" w:cs="Times New Roman"/>
                <w:b/>
                <w:bCs/>
              </w:rPr>
              <w:t>N-1</w:t>
            </w:r>
          </w:p>
        </w:tc>
        <w:tc>
          <w:tcPr>
            <w:tcW w:w="749" w:type="dxa"/>
            <w:shd w:val="clear" w:color="auto" w:fill="00B050"/>
            <w:noWrap/>
            <w:hideMark/>
          </w:tcPr>
          <w:p w14:paraId="3D51E9BC"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Y-4</w:t>
            </w:r>
          </w:p>
        </w:tc>
        <w:tc>
          <w:tcPr>
            <w:tcW w:w="3296" w:type="dxa"/>
            <w:hideMark/>
          </w:tcPr>
          <w:p w14:paraId="0A809AE1"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Zero allowance for ID mismatches = unknown/unlimited cost?</w:t>
            </w:r>
          </w:p>
        </w:tc>
      </w:tr>
      <w:tr w:rsidR="00FB2319" w:rsidRPr="003D3815" w14:paraId="5C71E3CE" w14:textId="77777777" w:rsidTr="00BE7398">
        <w:trPr>
          <w:trHeight w:val="288"/>
        </w:trPr>
        <w:tc>
          <w:tcPr>
            <w:tcW w:w="2265" w:type="dxa"/>
            <w:shd w:val="clear" w:color="auto" w:fill="D9D9D9"/>
            <w:noWrap/>
            <w:hideMark/>
          </w:tcPr>
          <w:p w14:paraId="77A10014"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"Break the Glass" policy in effect</w:t>
            </w:r>
          </w:p>
        </w:tc>
        <w:tc>
          <w:tcPr>
            <w:tcW w:w="608" w:type="dxa"/>
          </w:tcPr>
          <w:p w14:paraId="768CEF48"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B</w:t>
            </w:r>
          </w:p>
        </w:tc>
        <w:tc>
          <w:tcPr>
            <w:tcW w:w="1151" w:type="dxa"/>
            <w:shd w:val="clear" w:color="auto" w:fill="FF0000"/>
            <w:noWrap/>
            <w:hideMark/>
          </w:tcPr>
          <w:p w14:paraId="17C4A335"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N-1</w:t>
            </w:r>
          </w:p>
        </w:tc>
        <w:tc>
          <w:tcPr>
            <w:tcW w:w="1100" w:type="dxa"/>
            <w:shd w:val="clear" w:color="auto" w:fill="FF0000"/>
            <w:noWrap/>
            <w:hideMark/>
          </w:tcPr>
          <w:p w14:paraId="6DB5DA14"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N-1</w:t>
            </w:r>
          </w:p>
        </w:tc>
        <w:tc>
          <w:tcPr>
            <w:tcW w:w="846" w:type="dxa"/>
            <w:shd w:val="clear" w:color="auto" w:fill="FFFF00"/>
            <w:noWrap/>
            <w:hideMark/>
          </w:tcPr>
          <w:p w14:paraId="747C2973"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N/A</w:t>
            </w:r>
          </w:p>
        </w:tc>
        <w:tc>
          <w:tcPr>
            <w:tcW w:w="1016" w:type="dxa"/>
            <w:shd w:val="clear" w:color="auto" w:fill="FFFF00"/>
            <w:noWrap/>
            <w:hideMark/>
          </w:tcPr>
          <w:p w14:paraId="5A4F081A"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N/A</w:t>
            </w:r>
          </w:p>
        </w:tc>
        <w:tc>
          <w:tcPr>
            <w:tcW w:w="1387" w:type="dxa"/>
            <w:shd w:val="clear" w:color="auto" w:fill="FFFF00"/>
            <w:noWrap/>
            <w:hideMark/>
          </w:tcPr>
          <w:p w14:paraId="24F6B9DE"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N/A</w:t>
            </w:r>
          </w:p>
        </w:tc>
        <w:tc>
          <w:tcPr>
            <w:tcW w:w="951" w:type="dxa"/>
            <w:shd w:val="clear" w:color="auto" w:fill="FFFF00"/>
            <w:noWrap/>
            <w:hideMark/>
          </w:tcPr>
          <w:p w14:paraId="28454D1F"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N/A</w:t>
            </w:r>
          </w:p>
        </w:tc>
        <w:tc>
          <w:tcPr>
            <w:tcW w:w="749" w:type="dxa"/>
            <w:shd w:val="clear" w:color="auto" w:fill="00B050"/>
            <w:noWrap/>
            <w:hideMark/>
          </w:tcPr>
          <w:p w14:paraId="05AC5F14"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 -2</w:t>
            </w:r>
          </w:p>
        </w:tc>
        <w:tc>
          <w:tcPr>
            <w:tcW w:w="3296" w:type="dxa"/>
            <w:hideMark/>
          </w:tcPr>
          <w:p w14:paraId="40C83A50"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Access PHI in emergency without express consent</w:t>
            </w:r>
          </w:p>
        </w:tc>
      </w:tr>
      <w:tr w:rsidR="00FB2319" w:rsidRPr="003D3815" w14:paraId="2A2DAE6C" w14:textId="77777777" w:rsidTr="00BE7398">
        <w:trPr>
          <w:trHeight w:val="273"/>
        </w:trPr>
        <w:tc>
          <w:tcPr>
            <w:tcW w:w="2265" w:type="dxa"/>
            <w:shd w:val="clear" w:color="auto" w:fill="D9D9D9"/>
            <w:noWrap/>
            <w:hideMark/>
          </w:tcPr>
          <w:p w14:paraId="183D4063"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Relative Anonymity/Pseudonyms allowed</w:t>
            </w:r>
          </w:p>
        </w:tc>
        <w:tc>
          <w:tcPr>
            <w:tcW w:w="608" w:type="dxa"/>
          </w:tcPr>
          <w:p w14:paraId="00DBD4AF"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C</w:t>
            </w:r>
          </w:p>
        </w:tc>
        <w:tc>
          <w:tcPr>
            <w:tcW w:w="1151" w:type="dxa"/>
            <w:shd w:val="clear" w:color="auto" w:fill="00B050"/>
            <w:noWrap/>
            <w:hideMark/>
          </w:tcPr>
          <w:p w14:paraId="0C7AF254"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 - 5</w:t>
            </w:r>
          </w:p>
        </w:tc>
        <w:tc>
          <w:tcPr>
            <w:tcW w:w="1100" w:type="dxa"/>
            <w:shd w:val="clear" w:color="auto" w:fill="00B050"/>
            <w:noWrap/>
            <w:hideMark/>
          </w:tcPr>
          <w:p w14:paraId="63AF2F32"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 - 5</w:t>
            </w:r>
          </w:p>
        </w:tc>
        <w:tc>
          <w:tcPr>
            <w:tcW w:w="846" w:type="dxa"/>
            <w:shd w:val="clear" w:color="auto" w:fill="FF0000"/>
            <w:noWrap/>
            <w:hideMark/>
          </w:tcPr>
          <w:p w14:paraId="52B27CB9"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N-1</w:t>
            </w:r>
          </w:p>
        </w:tc>
        <w:tc>
          <w:tcPr>
            <w:tcW w:w="1016" w:type="dxa"/>
            <w:shd w:val="clear" w:color="auto" w:fill="FFFF00"/>
            <w:noWrap/>
            <w:hideMark/>
          </w:tcPr>
          <w:p w14:paraId="2467A86A"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N/A</w:t>
            </w:r>
          </w:p>
        </w:tc>
        <w:tc>
          <w:tcPr>
            <w:tcW w:w="1387" w:type="dxa"/>
            <w:shd w:val="clear" w:color="auto" w:fill="FF0000"/>
            <w:noWrap/>
            <w:hideMark/>
          </w:tcPr>
          <w:p w14:paraId="37B4B0DE"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N-2</w:t>
            </w:r>
          </w:p>
        </w:tc>
        <w:tc>
          <w:tcPr>
            <w:tcW w:w="951" w:type="dxa"/>
            <w:shd w:val="clear" w:color="auto" w:fill="FF0000"/>
            <w:noWrap/>
            <w:hideMark/>
          </w:tcPr>
          <w:p w14:paraId="29F1FDA1"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N-1</w:t>
            </w:r>
          </w:p>
        </w:tc>
        <w:tc>
          <w:tcPr>
            <w:tcW w:w="749" w:type="dxa"/>
            <w:shd w:val="clear" w:color="auto" w:fill="00B050"/>
            <w:noWrap/>
            <w:hideMark/>
          </w:tcPr>
          <w:p w14:paraId="439BE02E"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Y-3</w:t>
            </w:r>
          </w:p>
        </w:tc>
        <w:tc>
          <w:tcPr>
            <w:tcW w:w="3296" w:type="dxa"/>
            <w:hideMark/>
          </w:tcPr>
          <w:p w14:paraId="4DF4249E"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Dependent on the Relying Party policies and the nature of the transaction</w:t>
            </w:r>
          </w:p>
        </w:tc>
      </w:tr>
      <w:tr w:rsidR="00FB2319" w:rsidRPr="003D3815" w14:paraId="3CDF4B63" w14:textId="77777777" w:rsidTr="00BE7398">
        <w:trPr>
          <w:trHeight w:val="288"/>
        </w:trPr>
        <w:tc>
          <w:tcPr>
            <w:tcW w:w="2265" w:type="dxa"/>
            <w:shd w:val="clear" w:color="auto" w:fill="D9D9D9"/>
            <w:noWrap/>
            <w:hideMark/>
          </w:tcPr>
          <w:p w14:paraId="358923BA"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Robust Audit Trails / Precise Time Stamp</w:t>
            </w:r>
          </w:p>
        </w:tc>
        <w:tc>
          <w:tcPr>
            <w:tcW w:w="608" w:type="dxa"/>
          </w:tcPr>
          <w:p w14:paraId="692C5CC7"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D</w:t>
            </w:r>
          </w:p>
        </w:tc>
        <w:tc>
          <w:tcPr>
            <w:tcW w:w="1151" w:type="dxa"/>
            <w:shd w:val="clear" w:color="auto" w:fill="00B050"/>
            <w:noWrap/>
            <w:hideMark/>
          </w:tcPr>
          <w:p w14:paraId="65F01FB3"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 - 3</w:t>
            </w:r>
          </w:p>
        </w:tc>
        <w:tc>
          <w:tcPr>
            <w:tcW w:w="1100" w:type="dxa"/>
            <w:shd w:val="clear" w:color="auto" w:fill="FF0000"/>
            <w:noWrap/>
            <w:hideMark/>
          </w:tcPr>
          <w:p w14:paraId="47FCF4F6"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N-1</w:t>
            </w:r>
          </w:p>
        </w:tc>
        <w:tc>
          <w:tcPr>
            <w:tcW w:w="846" w:type="dxa"/>
            <w:shd w:val="clear" w:color="auto" w:fill="00B050"/>
            <w:noWrap/>
            <w:hideMark/>
          </w:tcPr>
          <w:p w14:paraId="4E4E6087"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Y-5</w:t>
            </w:r>
          </w:p>
        </w:tc>
        <w:tc>
          <w:tcPr>
            <w:tcW w:w="1016" w:type="dxa"/>
            <w:shd w:val="clear" w:color="auto" w:fill="00B050"/>
            <w:noWrap/>
            <w:hideMark/>
          </w:tcPr>
          <w:p w14:paraId="2FD9E8BF"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Y-1</w:t>
            </w:r>
          </w:p>
        </w:tc>
        <w:tc>
          <w:tcPr>
            <w:tcW w:w="1387" w:type="dxa"/>
            <w:shd w:val="clear" w:color="auto" w:fill="00B050"/>
            <w:noWrap/>
            <w:hideMark/>
          </w:tcPr>
          <w:p w14:paraId="55C2A8B9"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 - 1</w:t>
            </w:r>
          </w:p>
        </w:tc>
        <w:tc>
          <w:tcPr>
            <w:tcW w:w="951" w:type="dxa"/>
            <w:shd w:val="clear" w:color="auto" w:fill="FFFF00"/>
            <w:noWrap/>
            <w:hideMark/>
          </w:tcPr>
          <w:p w14:paraId="27CFAA09"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N/A</w:t>
            </w:r>
          </w:p>
        </w:tc>
        <w:tc>
          <w:tcPr>
            <w:tcW w:w="749" w:type="dxa"/>
            <w:shd w:val="clear" w:color="auto" w:fill="00B050"/>
            <w:noWrap/>
            <w:hideMark/>
          </w:tcPr>
          <w:p w14:paraId="64BAD32A"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Y-2</w:t>
            </w:r>
          </w:p>
        </w:tc>
        <w:tc>
          <w:tcPr>
            <w:tcW w:w="3296" w:type="dxa"/>
            <w:hideMark/>
          </w:tcPr>
          <w:p w14:paraId="6E43DF6D"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Accountability, QA/QI. But easy for whom--Auditor/Security vs. end user provider/patient?</w:t>
            </w:r>
          </w:p>
        </w:tc>
      </w:tr>
      <w:tr w:rsidR="00FB2319" w:rsidRPr="003D3815" w14:paraId="3A0CB08B" w14:textId="77777777" w:rsidTr="00BE7398">
        <w:trPr>
          <w:trHeight w:val="273"/>
        </w:trPr>
        <w:tc>
          <w:tcPr>
            <w:tcW w:w="2265" w:type="dxa"/>
            <w:shd w:val="clear" w:color="auto" w:fill="D9D9D9"/>
            <w:noWrap/>
            <w:hideMark/>
          </w:tcPr>
          <w:p w14:paraId="5D5BF94B"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Patient Safety/ Liability concerns</w:t>
            </w:r>
          </w:p>
        </w:tc>
        <w:tc>
          <w:tcPr>
            <w:tcW w:w="608" w:type="dxa"/>
          </w:tcPr>
          <w:p w14:paraId="2C779467"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E</w:t>
            </w:r>
          </w:p>
        </w:tc>
        <w:tc>
          <w:tcPr>
            <w:tcW w:w="1151" w:type="dxa"/>
            <w:shd w:val="clear" w:color="auto" w:fill="00B050"/>
            <w:noWrap/>
            <w:hideMark/>
          </w:tcPr>
          <w:p w14:paraId="02850B50"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 - 3</w:t>
            </w:r>
          </w:p>
        </w:tc>
        <w:tc>
          <w:tcPr>
            <w:tcW w:w="1100" w:type="dxa"/>
            <w:shd w:val="clear" w:color="auto" w:fill="00B050"/>
            <w:noWrap/>
            <w:hideMark/>
          </w:tcPr>
          <w:p w14:paraId="450FB203"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Y-1</w:t>
            </w:r>
          </w:p>
        </w:tc>
        <w:tc>
          <w:tcPr>
            <w:tcW w:w="846" w:type="dxa"/>
            <w:shd w:val="clear" w:color="auto" w:fill="00B050"/>
            <w:noWrap/>
            <w:hideMark/>
          </w:tcPr>
          <w:p w14:paraId="062CEE8B"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 - 3</w:t>
            </w:r>
          </w:p>
        </w:tc>
        <w:tc>
          <w:tcPr>
            <w:tcW w:w="1016" w:type="dxa"/>
            <w:shd w:val="clear" w:color="auto" w:fill="00B050"/>
            <w:noWrap/>
            <w:hideMark/>
          </w:tcPr>
          <w:p w14:paraId="04C7FFA0"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Y-4</w:t>
            </w:r>
          </w:p>
        </w:tc>
        <w:tc>
          <w:tcPr>
            <w:tcW w:w="1387" w:type="dxa"/>
            <w:shd w:val="clear" w:color="auto" w:fill="FFFF00"/>
            <w:noWrap/>
            <w:hideMark/>
          </w:tcPr>
          <w:p w14:paraId="07A6484A"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N/A</w:t>
            </w:r>
          </w:p>
        </w:tc>
        <w:tc>
          <w:tcPr>
            <w:tcW w:w="951" w:type="dxa"/>
            <w:shd w:val="clear" w:color="auto" w:fill="00B050"/>
            <w:noWrap/>
            <w:hideMark/>
          </w:tcPr>
          <w:p w14:paraId="112FE3FA"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Y-1</w:t>
            </w:r>
          </w:p>
        </w:tc>
        <w:tc>
          <w:tcPr>
            <w:tcW w:w="749" w:type="dxa"/>
            <w:shd w:val="clear" w:color="auto" w:fill="FFFF00"/>
            <w:noWrap/>
            <w:hideMark/>
          </w:tcPr>
          <w:p w14:paraId="75499DEC"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N/A</w:t>
            </w:r>
          </w:p>
        </w:tc>
        <w:tc>
          <w:tcPr>
            <w:tcW w:w="3296" w:type="dxa"/>
            <w:hideMark/>
          </w:tcPr>
          <w:p w14:paraId="243C581A"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Mismatched ID, poor design lead to serious errors and liability</w:t>
            </w:r>
          </w:p>
        </w:tc>
      </w:tr>
      <w:tr w:rsidR="00FB2319" w:rsidRPr="003D3815" w14:paraId="589A7F3D" w14:textId="77777777" w:rsidTr="00BE7398">
        <w:trPr>
          <w:trHeight w:val="288"/>
        </w:trPr>
        <w:tc>
          <w:tcPr>
            <w:tcW w:w="2265" w:type="dxa"/>
            <w:shd w:val="clear" w:color="auto" w:fill="D9D9D9"/>
            <w:noWrap/>
            <w:hideMark/>
          </w:tcPr>
          <w:p w14:paraId="13DD88D5"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 xml:space="preserve">Delegate proxy (access) easily </w:t>
            </w:r>
          </w:p>
        </w:tc>
        <w:tc>
          <w:tcPr>
            <w:tcW w:w="608" w:type="dxa"/>
          </w:tcPr>
          <w:p w14:paraId="34D72008"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F</w:t>
            </w:r>
          </w:p>
        </w:tc>
        <w:tc>
          <w:tcPr>
            <w:tcW w:w="1151" w:type="dxa"/>
            <w:shd w:val="clear" w:color="auto" w:fill="00B050"/>
            <w:noWrap/>
            <w:hideMark/>
          </w:tcPr>
          <w:p w14:paraId="3BF4A5C7"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 - 2</w:t>
            </w:r>
          </w:p>
        </w:tc>
        <w:tc>
          <w:tcPr>
            <w:tcW w:w="1100" w:type="dxa"/>
            <w:shd w:val="clear" w:color="auto" w:fill="00B050"/>
            <w:noWrap/>
            <w:hideMark/>
          </w:tcPr>
          <w:p w14:paraId="33889916"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Y-3</w:t>
            </w:r>
          </w:p>
        </w:tc>
        <w:tc>
          <w:tcPr>
            <w:tcW w:w="846" w:type="dxa"/>
            <w:shd w:val="clear" w:color="auto" w:fill="00B050"/>
            <w:noWrap/>
            <w:hideMark/>
          </w:tcPr>
          <w:p w14:paraId="1A65BA02"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Y-2</w:t>
            </w:r>
          </w:p>
        </w:tc>
        <w:tc>
          <w:tcPr>
            <w:tcW w:w="1016" w:type="dxa"/>
            <w:shd w:val="clear" w:color="auto" w:fill="00B050"/>
            <w:noWrap/>
            <w:hideMark/>
          </w:tcPr>
          <w:p w14:paraId="4B9DB079"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 - 3</w:t>
            </w:r>
          </w:p>
        </w:tc>
        <w:tc>
          <w:tcPr>
            <w:tcW w:w="1387" w:type="dxa"/>
            <w:shd w:val="clear" w:color="auto" w:fill="FFFF00"/>
            <w:noWrap/>
            <w:hideMark/>
          </w:tcPr>
          <w:p w14:paraId="7B87F250"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N/A</w:t>
            </w:r>
          </w:p>
        </w:tc>
        <w:tc>
          <w:tcPr>
            <w:tcW w:w="951" w:type="dxa"/>
            <w:shd w:val="clear" w:color="auto" w:fill="FFFF00"/>
            <w:noWrap/>
            <w:hideMark/>
          </w:tcPr>
          <w:p w14:paraId="2967D788"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N/A</w:t>
            </w:r>
          </w:p>
        </w:tc>
        <w:tc>
          <w:tcPr>
            <w:tcW w:w="749" w:type="dxa"/>
            <w:shd w:val="clear" w:color="auto" w:fill="00B050"/>
            <w:noWrap/>
            <w:hideMark/>
          </w:tcPr>
          <w:p w14:paraId="0FC4489D"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Y-5</w:t>
            </w:r>
          </w:p>
        </w:tc>
        <w:tc>
          <w:tcPr>
            <w:tcW w:w="3296" w:type="dxa"/>
            <w:hideMark/>
          </w:tcPr>
          <w:p w14:paraId="78225818"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Consistent with longstanding HIPAA rights</w:t>
            </w:r>
          </w:p>
        </w:tc>
      </w:tr>
      <w:tr w:rsidR="00FB2319" w:rsidRPr="003D3815" w14:paraId="748DEB97" w14:textId="77777777" w:rsidTr="00BE7398">
        <w:trPr>
          <w:trHeight w:val="288"/>
        </w:trPr>
        <w:tc>
          <w:tcPr>
            <w:tcW w:w="2265" w:type="dxa"/>
            <w:shd w:val="clear" w:color="auto" w:fill="D9D9D9"/>
            <w:noWrap/>
            <w:hideMark/>
          </w:tcPr>
          <w:p w14:paraId="3A101E01"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Strong MFA to enhance security</w:t>
            </w:r>
          </w:p>
        </w:tc>
        <w:tc>
          <w:tcPr>
            <w:tcW w:w="608" w:type="dxa"/>
          </w:tcPr>
          <w:p w14:paraId="175BD3D9"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G</w:t>
            </w:r>
          </w:p>
        </w:tc>
        <w:tc>
          <w:tcPr>
            <w:tcW w:w="1151" w:type="dxa"/>
            <w:shd w:val="clear" w:color="auto" w:fill="00B050"/>
            <w:noWrap/>
            <w:hideMark/>
          </w:tcPr>
          <w:p w14:paraId="38DAEA40"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Y-3</w:t>
            </w:r>
          </w:p>
        </w:tc>
        <w:tc>
          <w:tcPr>
            <w:tcW w:w="1100" w:type="dxa"/>
            <w:shd w:val="clear" w:color="auto" w:fill="FFFF00"/>
            <w:noWrap/>
            <w:hideMark/>
          </w:tcPr>
          <w:p w14:paraId="4159587D"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N/A</w:t>
            </w:r>
          </w:p>
        </w:tc>
        <w:tc>
          <w:tcPr>
            <w:tcW w:w="846" w:type="dxa"/>
            <w:shd w:val="clear" w:color="auto" w:fill="00B050"/>
            <w:noWrap/>
            <w:hideMark/>
          </w:tcPr>
          <w:p w14:paraId="1BA498F1"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 - 5</w:t>
            </w:r>
          </w:p>
        </w:tc>
        <w:tc>
          <w:tcPr>
            <w:tcW w:w="1016" w:type="dxa"/>
            <w:shd w:val="clear" w:color="auto" w:fill="00B050"/>
            <w:noWrap/>
            <w:hideMark/>
          </w:tcPr>
          <w:p w14:paraId="148C0DC0"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Y-2</w:t>
            </w:r>
          </w:p>
        </w:tc>
        <w:tc>
          <w:tcPr>
            <w:tcW w:w="1387" w:type="dxa"/>
            <w:shd w:val="clear" w:color="auto" w:fill="00B050"/>
            <w:noWrap/>
            <w:hideMark/>
          </w:tcPr>
          <w:p w14:paraId="5BF83B11"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Y-4</w:t>
            </w:r>
          </w:p>
        </w:tc>
        <w:tc>
          <w:tcPr>
            <w:tcW w:w="951" w:type="dxa"/>
            <w:shd w:val="clear" w:color="auto" w:fill="00B050"/>
            <w:noWrap/>
            <w:hideMark/>
          </w:tcPr>
          <w:p w14:paraId="5CFEDD7B"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Y-2</w:t>
            </w:r>
          </w:p>
        </w:tc>
        <w:tc>
          <w:tcPr>
            <w:tcW w:w="749" w:type="dxa"/>
            <w:shd w:val="clear" w:color="auto" w:fill="FF0000"/>
            <w:noWrap/>
            <w:hideMark/>
          </w:tcPr>
          <w:p w14:paraId="38839D83"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N-1</w:t>
            </w:r>
          </w:p>
        </w:tc>
        <w:tc>
          <w:tcPr>
            <w:tcW w:w="3296" w:type="dxa"/>
            <w:hideMark/>
          </w:tcPr>
          <w:p w14:paraId="2C3E7EA9"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MFA = Multi-factor Authentication</w:t>
            </w:r>
          </w:p>
        </w:tc>
      </w:tr>
      <w:tr w:rsidR="00FB2319" w:rsidRPr="003D3815" w14:paraId="60EA5C98" w14:textId="77777777" w:rsidTr="00BE7398">
        <w:trPr>
          <w:trHeight w:val="288"/>
        </w:trPr>
        <w:tc>
          <w:tcPr>
            <w:tcW w:w="2265" w:type="dxa"/>
            <w:shd w:val="clear" w:color="auto" w:fill="D9D9D9"/>
            <w:noWrap/>
            <w:hideMark/>
          </w:tcPr>
          <w:p w14:paraId="0393E3AA"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Standards-based risk-appropriate identity proofing</w:t>
            </w:r>
          </w:p>
        </w:tc>
        <w:tc>
          <w:tcPr>
            <w:tcW w:w="608" w:type="dxa"/>
          </w:tcPr>
          <w:p w14:paraId="5B91A222"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H</w:t>
            </w:r>
          </w:p>
        </w:tc>
        <w:tc>
          <w:tcPr>
            <w:tcW w:w="1151" w:type="dxa"/>
            <w:shd w:val="clear" w:color="auto" w:fill="00B050"/>
            <w:noWrap/>
            <w:hideMark/>
          </w:tcPr>
          <w:p w14:paraId="7D05E716"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Y-1</w:t>
            </w:r>
          </w:p>
        </w:tc>
        <w:tc>
          <w:tcPr>
            <w:tcW w:w="1100" w:type="dxa"/>
            <w:shd w:val="clear" w:color="auto" w:fill="FF0000"/>
            <w:noWrap/>
            <w:hideMark/>
          </w:tcPr>
          <w:p w14:paraId="667F370B"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N-1</w:t>
            </w:r>
          </w:p>
        </w:tc>
        <w:tc>
          <w:tcPr>
            <w:tcW w:w="846" w:type="dxa"/>
            <w:shd w:val="clear" w:color="auto" w:fill="00B050"/>
            <w:noWrap/>
            <w:hideMark/>
          </w:tcPr>
          <w:p w14:paraId="396F8B2C"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Y-5</w:t>
            </w:r>
          </w:p>
        </w:tc>
        <w:tc>
          <w:tcPr>
            <w:tcW w:w="1016" w:type="dxa"/>
            <w:shd w:val="clear" w:color="auto" w:fill="FFFF00"/>
            <w:noWrap/>
            <w:hideMark/>
          </w:tcPr>
          <w:p w14:paraId="073AD93A"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N/A</w:t>
            </w:r>
          </w:p>
        </w:tc>
        <w:tc>
          <w:tcPr>
            <w:tcW w:w="1387" w:type="dxa"/>
            <w:shd w:val="clear" w:color="auto" w:fill="00B050"/>
            <w:noWrap/>
            <w:hideMark/>
          </w:tcPr>
          <w:p w14:paraId="77AC290F"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Y-3</w:t>
            </w:r>
          </w:p>
        </w:tc>
        <w:tc>
          <w:tcPr>
            <w:tcW w:w="951" w:type="dxa"/>
            <w:shd w:val="clear" w:color="auto" w:fill="FF0000"/>
            <w:noWrap/>
            <w:hideMark/>
          </w:tcPr>
          <w:p w14:paraId="22B01DFC"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N-2</w:t>
            </w:r>
          </w:p>
        </w:tc>
        <w:tc>
          <w:tcPr>
            <w:tcW w:w="749" w:type="dxa"/>
            <w:shd w:val="clear" w:color="auto" w:fill="FF0000"/>
            <w:noWrap/>
            <w:hideMark/>
          </w:tcPr>
          <w:p w14:paraId="597B1800"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N-2</w:t>
            </w:r>
          </w:p>
        </w:tc>
        <w:tc>
          <w:tcPr>
            <w:tcW w:w="3296" w:type="dxa"/>
            <w:hideMark/>
          </w:tcPr>
          <w:p w14:paraId="62548E77"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 xml:space="preserve"> See H1-7 in comments below</w:t>
            </w:r>
          </w:p>
        </w:tc>
      </w:tr>
      <w:tr w:rsidR="00FB2319" w:rsidRPr="003D3815" w14:paraId="610F19F1" w14:textId="77777777" w:rsidTr="00BE7398">
        <w:trPr>
          <w:trHeight w:val="302"/>
        </w:trPr>
        <w:tc>
          <w:tcPr>
            <w:tcW w:w="2265" w:type="dxa"/>
            <w:shd w:val="clear" w:color="auto" w:fill="D9D9D9"/>
            <w:noWrap/>
            <w:hideMark/>
          </w:tcPr>
          <w:p w14:paraId="19EF2C9B"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Resilience</w:t>
            </w:r>
          </w:p>
        </w:tc>
        <w:tc>
          <w:tcPr>
            <w:tcW w:w="608" w:type="dxa"/>
          </w:tcPr>
          <w:p w14:paraId="078EF3AE"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I</w:t>
            </w:r>
          </w:p>
        </w:tc>
        <w:tc>
          <w:tcPr>
            <w:tcW w:w="1151" w:type="dxa"/>
            <w:shd w:val="clear" w:color="auto" w:fill="00B050"/>
            <w:noWrap/>
            <w:hideMark/>
          </w:tcPr>
          <w:p w14:paraId="122704A0"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Y-4</w:t>
            </w:r>
          </w:p>
        </w:tc>
        <w:tc>
          <w:tcPr>
            <w:tcW w:w="1100" w:type="dxa"/>
            <w:shd w:val="clear" w:color="auto" w:fill="FFFF00"/>
            <w:noWrap/>
            <w:hideMark/>
          </w:tcPr>
          <w:p w14:paraId="7DE91A41"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N/A</w:t>
            </w:r>
          </w:p>
        </w:tc>
        <w:tc>
          <w:tcPr>
            <w:tcW w:w="846" w:type="dxa"/>
            <w:shd w:val="clear" w:color="auto" w:fill="00B050"/>
            <w:noWrap/>
            <w:hideMark/>
          </w:tcPr>
          <w:p w14:paraId="72A12F4A"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Y-3</w:t>
            </w:r>
          </w:p>
        </w:tc>
        <w:tc>
          <w:tcPr>
            <w:tcW w:w="1016" w:type="dxa"/>
            <w:shd w:val="clear" w:color="auto" w:fill="00B050"/>
            <w:noWrap/>
            <w:hideMark/>
          </w:tcPr>
          <w:p w14:paraId="2CA01781"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Y-5</w:t>
            </w:r>
          </w:p>
        </w:tc>
        <w:tc>
          <w:tcPr>
            <w:tcW w:w="1387" w:type="dxa"/>
            <w:shd w:val="clear" w:color="auto" w:fill="00B050"/>
            <w:noWrap/>
            <w:hideMark/>
          </w:tcPr>
          <w:p w14:paraId="14B27FD1"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Y-2</w:t>
            </w:r>
          </w:p>
        </w:tc>
        <w:tc>
          <w:tcPr>
            <w:tcW w:w="951" w:type="dxa"/>
            <w:shd w:val="clear" w:color="auto" w:fill="00B050"/>
            <w:noWrap/>
            <w:hideMark/>
          </w:tcPr>
          <w:p w14:paraId="1EDE2123"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Y-2</w:t>
            </w:r>
          </w:p>
        </w:tc>
        <w:tc>
          <w:tcPr>
            <w:tcW w:w="749" w:type="dxa"/>
            <w:shd w:val="clear" w:color="auto" w:fill="00B050"/>
            <w:noWrap/>
            <w:hideMark/>
          </w:tcPr>
          <w:p w14:paraId="4AA9F5A2"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Y-4</w:t>
            </w:r>
          </w:p>
        </w:tc>
        <w:tc>
          <w:tcPr>
            <w:tcW w:w="3296" w:type="dxa"/>
            <w:hideMark/>
          </w:tcPr>
          <w:p w14:paraId="75413159"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 xml:space="preserve">The ability “to recover and adapt to drastic and abrupt change” </w:t>
            </w:r>
          </w:p>
        </w:tc>
      </w:tr>
      <w:tr w:rsidR="00FB2319" w:rsidRPr="003D3815" w14:paraId="37C2418C" w14:textId="77777777" w:rsidTr="00BE7398">
        <w:trPr>
          <w:trHeight w:val="288"/>
        </w:trPr>
        <w:tc>
          <w:tcPr>
            <w:tcW w:w="2265" w:type="dxa"/>
            <w:shd w:val="clear" w:color="auto" w:fill="D9D9D9"/>
            <w:noWrap/>
            <w:hideMark/>
          </w:tcPr>
          <w:p w14:paraId="1B632113"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lastRenderedPageBreak/>
              <w:t>Legal Redress allowed/defined</w:t>
            </w:r>
          </w:p>
        </w:tc>
        <w:tc>
          <w:tcPr>
            <w:tcW w:w="608" w:type="dxa"/>
          </w:tcPr>
          <w:p w14:paraId="44F8864E"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J</w:t>
            </w:r>
          </w:p>
        </w:tc>
        <w:tc>
          <w:tcPr>
            <w:tcW w:w="1151" w:type="dxa"/>
            <w:shd w:val="clear" w:color="auto" w:fill="00B050"/>
            <w:noWrap/>
            <w:hideMark/>
          </w:tcPr>
          <w:p w14:paraId="0D454537"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 - 5</w:t>
            </w:r>
          </w:p>
        </w:tc>
        <w:tc>
          <w:tcPr>
            <w:tcW w:w="1100" w:type="dxa"/>
            <w:shd w:val="clear" w:color="auto" w:fill="00B050"/>
            <w:noWrap/>
            <w:hideMark/>
          </w:tcPr>
          <w:p w14:paraId="357D1185"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 - 2</w:t>
            </w:r>
          </w:p>
        </w:tc>
        <w:tc>
          <w:tcPr>
            <w:tcW w:w="846" w:type="dxa"/>
            <w:shd w:val="clear" w:color="auto" w:fill="00B050"/>
            <w:noWrap/>
            <w:hideMark/>
          </w:tcPr>
          <w:p w14:paraId="1A15DA2F"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Y-2</w:t>
            </w:r>
          </w:p>
        </w:tc>
        <w:tc>
          <w:tcPr>
            <w:tcW w:w="1016" w:type="dxa"/>
            <w:shd w:val="clear" w:color="auto" w:fill="00B050"/>
            <w:noWrap/>
            <w:hideMark/>
          </w:tcPr>
          <w:p w14:paraId="535FFFC2"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Y-2</w:t>
            </w:r>
          </w:p>
        </w:tc>
        <w:tc>
          <w:tcPr>
            <w:tcW w:w="1387" w:type="dxa"/>
            <w:shd w:val="clear" w:color="auto" w:fill="00B050"/>
            <w:noWrap/>
            <w:hideMark/>
          </w:tcPr>
          <w:p w14:paraId="24E3A8A5"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Y-3</w:t>
            </w:r>
          </w:p>
        </w:tc>
        <w:tc>
          <w:tcPr>
            <w:tcW w:w="951" w:type="dxa"/>
            <w:shd w:val="clear" w:color="auto" w:fill="00B050"/>
            <w:noWrap/>
            <w:hideMark/>
          </w:tcPr>
          <w:p w14:paraId="4CC97C63"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 - 2</w:t>
            </w:r>
          </w:p>
        </w:tc>
        <w:tc>
          <w:tcPr>
            <w:tcW w:w="749" w:type="dxa"/>
            <w:shd w:val="clear" w:color="auto" w:fill="00B050"/>
            <w:noWrap/>
            <w:hideMark/>
          </w:tcPr>
          <w:p w14:paraId="68B5AF83" w14:textId="77777777" w:rsidR="00FB2319" w:rsidRPr="003D3815" w:rsidRDefault="00FB2319" w:rsidP="00FB2319">
            <w:pPr>
              <w:spacing w:before="0" w:after="0" w:line="240" w:lineRule="auto"/>
              <w:jc w:val="center"/>
              <w:rPr>
                <w:rFonts w:ascii="Calibri" w:eastAsia="Calibri" w:hAnsi="Calibri" w:cs="Times New Roman"/>
                <w:b/>
                <w:bCs/>
              </w:rPr>
            </w:pPr>
            <w:r w:rsidRPr="003D3815">
              <w:rPr>
                <w:rFonts w:ascii="Calibri" w:eastAsia="Calibri" w:hAnsi="Calibri" w:cs="Times New Roman"/>
                <w:b/>
                <w:bCs/>
              </w:rPr>
              <w:t>Y-1</w:t>
            </w:r>
          </w:p>
        </w:tc>
        <w:tc>
          <w:tcPr>
            <w:tcW w:w="3296" w:type="dxa"/>
            <w:hideMark/>
          </w:tcPr>
          <w:p w14:paraId="1D1B34B8" w14:textId="77777777" w:rsidR="00FB2319" w:rsidRPr="003D3815" w:rsidRDefault="00FB2319" w:rsidP="00FB2319">
            <w:pPr>
              <w:spacing w:before="0" w:after="0" w:line="240" w:lineRule="auto"/>
              <w:rPr>
                <w:rFonts w:ascii="Calibri" w:eastAsia="Calibri" w:hAnsi="Calibri" w:cs="Times New Roman"/>
              </w:rPr>
            </w:pPr>
            <w:r w:rsidRPr="003D3815">
              <w:rPr>
                <w:rFonts w:ascii="Calibri" w:eastAsia="Calibri" w:hAnsi="Calibri" w:cs="Times New Roman"/>
              </w:rPr>
              <w:t>To counter intentional online ID fraud/abuse</w:t>
            </w:r>
          </w:p>
        </w:tc>
      </w:tr>
    </w:tbl>
    <w:p w14:paraId="610F5D09" w14:textId="77777777" w:rsidR="00BE7398" w:rsidRPr="003D3815" w:rsidRDefault="00BE7398" w:rsidP="00FB2319">
      <w:pPr>
        <w:spacing w:before="0" w:after="160" w:line="259" w:lineRule="auto"/>
        <w:contextualSpacing/>
        <w:rPr>
          <w:rFonts w:eastAsia="Calibri" w:cs="Arial"/>
          <w:b/>
          <w:bCs/>
          <w:szCs w:val="22"/>
        </w:rPr>
      </w:pPr>
    </w:p>
    <w:p w14:paraId="3259755F" w14:textId="4691C3BF" w:rsidR="00FB2319" w:rsidRPr="003D3815" w:rsidRDefault="00FB2319" w:rsidP="00FB2319">
      <w:pPr>
        <w:spacing w:before="0" w:after="160" w:line="259" w:lineRule="auto"/>
        <w:contextualSpacing/>
        <w:rPr>
          <w:rFonts w:eastAsia="Calibri" w:cs="Arial"/>
          <w:b/>
          <w:bCs/>
          <w:szCs w:val="22"/>
        </w:rPr>
      </w:pPr>
      <w:r w:rsidRPr="003D3815">
        <w:rPr>
          <w:rFonts w:eastAsia="Calibri" w:cs="Arial"/>
          <w:b/>
          <w:bCs/>
          <w:szCs w:val="22"/>
        </w:rPr>
        <w:t xml:space="preserve">Key to cell scores: </w:t>
      </w:r>
    </w:p>
    <w:p w14:paraId="2CF88B5D" w14:textId="77777777" w:rsidR="00FB2319" w:rsidRPr="003D3815" w:rsidRDefault="00FB2319" w:rsidP="00FB2319">
      <w:pPr>
        <w:spacing w:before="0" w:after="160" w:line="259" w:lineRule="auto"/>
        <w:contextualSpacing/>
        <w:rPr>
          <w:rFonts w:eastAsia="Calibri" w:cs="Arial"/>
          <w:szCs w:val="22"/>
        </w:rPr>
      </w:pPr>
      <w:r w:rsidRPr="003D3815">
        <w:rPr>
          <w:rFonts w:eastAsia="Calibri" w:cs="Arial"/>
          <w:szCs w:val="22"/>
          <w:shd w:val="clear" w:color="auto" w:fill="00B050"/>
        </w:rPr>
        <w:t>Y</w:t>
      </w:r>
      <w:r w:rsidRPr="003D3815">
        <w:rPr>
          <w:rFonts w:eastAsia="Calibri" w:cs="Arial"/>
          <w:szCs w:val="22"/>
        </w:rPr>
        <w:t xml:space="preserve"> = HIAWG Requirement consistent with or supports NSTIC principle</w:t>
      </w:r>
    </w:p>
    <w:p w14:paraId="56073E0F" w14:textId="77777777" w:rsidR="00FB2319" w:rsidRPr="003D3815" w:rsidRDefault="00FB2319" w:rsidP="00FB2319">
      <w:pPr>
        <w:spacing w:before="0" w:after="160" w:line="259" w:lineRule="auto"/>
        <w:contextualSpacing/>
        <w:rPr>
          <w:rFonts w:eastAsia="Calibri" w:cs="Arial"/>
          <w:szCs w:val="22"/>
        </w:rPr>
      </w:pPr>
      <w:r w:rsidRPr="003D3815">
        <w:rPr>
          <w:rFonts w:eastAsia="Calibri" w:cs="Arial"/>
          <w:szCs w:val="22"/>
          <w:shd w:val="clear" w:color="auto" w:fill="FF0000"/>
        </w:rPr>
        <w:t>N</w:t>
      </w:r>
      <w:r w:rsidRPr="003D3815">
        <w:rPr>
          <w:rFonts w:eastAsia="Calibri" w:cs="Arial"/>
          <w:szCs w:val="22"/>
        </w:rPr>
        <w:t>= HIAWG requirement inconsistent with or does not support NSTIC principle</w:t>
      </w:r>
    </w:p>
    <w:p w14:paraId="6EE4A607" w14:textId="77777777" w:rsidR="00FB2319" w:rsidRPr="003D3815" w:rsidRDefault="00FB2319" w:rsidP="00FB2319">
      <w:pPr>
        <w:spacing w:before="0" w:after="160" w:line="259" w:lineRule="auto"/>
        <w:contextualSpacing/>
        <w:rPr>
          <w:rFonts w:eastAsia="Calibri" w:cs="Arial"/>
          <w:szCs w:val="22"/>
        </w:rPr>
      </w:pPr>
      <w:r w:rsidRPr="003D3815">
        <w:rPr>
          <w:rFonts w:eastAsia="Calibri" w:cs="Arial"/>
          <w:szCs w:val="22"/>
          <w:shd w:val="clear" w:color="auto" w:fill="FFFF00"/>
        </w:rPr>
        <w:t>N/A</w:t>
      </w:r>
      <w:r w:rsidRPr="003D3815">
        <w:rPr>
          <w:rFonts w:eastAsia="Calibri" w:cs="Arial"/>
          <w:szCs w:val="22"/>
        </w:rPr>
        <w:t xml:space="preserve"> = HIAWG requirement doesn’t map to any NSTIC principle or relationship is ambiguous</w:t>
      </w:r>
    </w:p>
    <w:p w14:paraId="54C25FEA" w14:textId="77777777" w:rsidR="00FB2319" w:rsidRPr="003D3815" w:rsidRDefault="00FB2319" w:rsidP="00FB2319">
      <w:pPr>
        <w:spacing w:before="0" w:after="160" w:line="259" w:lineRule="auto"/>
        <w:rPr>
          <w:rFonts w:eastAsia="Calibri" w:cs="Arial"/>
          <w:szCs w:val="22"/>
        </w:rPr>
      </w:pPr>
      <w:r w:rsidRPr="003D3815">
        <w:rPr>
          <w:rFonts w:eastAsia="Calibri" w:cs="Arial"/>
          <w:szCs w:val="22"/>
        </w:rPr>
        <w:t>Numeric scores 1-5: strength of positive or negative relationship. 1 = weakest, 5 = strongest</w:t>
      </w:r>
    </w:p>
    <w:p w14:paraId="3FE67A23" w14:textId="77777777" w:rsidR="00FB2319" w:rsidRPr="003D3815" w:rsidRDefault="00FB2319" w:rsidP="00FB2319">
      <w:pPr>
        <w:spacing w:before="0" w:after="160" w:line="259" w:lineRule="auto"/>
        <w:contextualSpacing/>
        <w:rPr>
          <w:rFonts w:eastAsia="Calibri" w:cs="Arial"/>
          <w:b/>
          <w:bCs/>
          <w:szCs w:val="22"/>
        </w:rPr>
      </w:pPr>
      <w:r w:rsidRPr="003D3815">
        <w:rPr>
          <w:rFonts w:eastAsia="Calibri" w:cs="Arial"/>
          <w:b/>
          <w:bCs/>
          <w:szCs w:val="22"/>
        </w:rPr>
        <w:t xml:space="preserve">Interpreting the matrix—Examples: </w:t>
      </w:r>
    </w:p>
    <w:p w14:paraId="07E85A4C" w14:textId="77777777" w:rsidR="00FB2319" w:rsidRPr="003D3815" w:rsidRDefault="00FB2319" w:rsidP="00FB2319">
      <w:pPr>
        <w:spacing w:before="0" w:after="160" w:line="259" w:lineRule="auto"/>
        <w:contextualSpacing/>
        <w:rPr>
          <w:rFonts w:eastAsia="Calibri" w:cs="Arial"/>
          <w:szCs w:val="22"/>
        </w:rPr>
      </w:pPr>
      <w:r w:rsidRPr="003D3815">
        <w:rPr>
          <w:rFonts w:eastAsia="Calibri" w:cs="Arial"/>
          <w:szCs w:val="22"/>
        </w:rPr>
        <w:t xml:space="preserve">Score of </w:t>
      </w:r>
      <w:r w:rsidRPr="003D3815">
        <w:rPr>
          <w:rFonts w:eastAsia="Calibri" w:cs="Arial"/>
          <w:b/>
          <w:bCs/>
          <w:szCs w:val="22"/>
          <w:shd w:val="clear" w:color="auto" w:fill="00B050"/>
        </w:rPr>
        <w:t>Y-5</w:t>
      </w:r>
      <w:r w:rsidRPr="003D3815">
        <w:rPr>
          <w:rFonts w:eastAsia="Calibri" w:cs="Arial"/>
          <w:szCs w:val="22"/>
        </w:rPr>
        <w:t xml:space="preserve"> in cell D3 means that </w:t>
      </w:r>
      <w:r w:rsidRPr="003D3815">
        <w:rPr>
          <w:rFonts w:eastAsia="Calibri" w:cs="Arial"/>
          <w:b/>
          <w:bCs/>
          <w:szCs w:val="22"/>
        </w:rPr>
        <w:t>Robust Audit Trails</w:t>
      </w:r>
      <w:r w:rsidRPr="003D3815">
        <w:rPr>
          <w:rFonts w:eastAsia="Calibri" w:cs="Arial"/>
          <w:szCs w:val="22"/>
        </w:rPr>
        <w:t xml:space="preserve"> (HIAWG requirement D) are judged to be </w:t>
      </w:r>
      <w:r w:rsidRPr="003D3815">
        <w:rPr>
          <w:rFonts w:eastAsia="Calibri" w:cs="Arial"/>
          <w:b/>
          <w:bCs/>
          <w:szCs w:val="22"/>
        </w:rPr>
        <w:t>strongly supportive</w:t>
      </w:r>
      <w:r w:rsidRPr="003D3815">
        <w:rPr>
          <w:rFonts w:eastAsia="Calibri" w:cs="Arial"/>
          <w:szCs w:val="22"/>
        </w:rPr>
        <w:t xml:space="preserve"> of </w:t>
      </w:r>
      <w:r w:rsidRPr="003D3815">
        <w:rPr>
          <w:rFonts w:eastAsia="Calibri" w:cs="Arial"/>
          <w:b/>
          <w:bCs/>
          <w:szCs w:val="22"/>
        </w:rPr>
        <w:t>Security</w:t>
      </w:r>
      <w:r w:rsidRPr="003D3815">
        <w:rPr>
          <w:rFonts w:eastAsia="Calibri" w:cs="Arial"/>
          <w:szCs w:val="22"/>
        </w:rPr>
        <w:t xml:space="preserve"> (NSTIC Principle 3)   </w:t>
      </w:r>
    </w:p>
    <w:p w14:paraId="77DCD752" w14:textId="77777777" w:rsidR="00FB2319" w:rsidRPr="003D3815" w:rsidRDefault="00FB2319" w:rsidP="00FB2319">
      <w:pPr>
        <w:spacing w:before="0" w:after="160" w:line="259" w:lineRule="auto"/>
        <w:contextualSpacing/>
        <w:rPr>
          <w:rFonts w:eastAsia="Calibri" w:cs="Arial"/>
          <w:szCs w:val="22"/>
        </w:rPr>
      </w:pPr>
      <w:r w:rsidRPr="003D3815">
        <w:rPr>
          <w:rFonts w:eastAsia="Calibri" w:cs="Arial"/>
          <w:szCs w:val="22"/>
        </w:rPr>
        <w:t xml:space="preserve">Score of </w:t>
      </w:r>
      <w:r w:rsidRPr="003D3815">
        <w:rPr>
          <w:rFonts w:eastAsia="Calibri" w:cs="Arial"/>
          <w:b/>
          <w:bCs/>
          <w:szCs w:val="22"/>
          <w:shd w:val="clear" w:color="auto" w:fill="FF0000"/>
        </w:rPr>
        <w:t>N-1</w:t>
      </w:r>
      <w:r w:rsidRPr="003D3815">
        <w:rPr>
          <w:rFonts w:eastAsia="Calibri" w:cs="Arial"/>
          <w:szCs w:val="22"/>
        </w:rPr>
        <w:t xml:space="preserve"> in cell G7 means that </w:t>
      </w:r>
      <w:r w:rsidRPr="003D3815">
        <w:rPr>
          <w:rFonts w:eastAsia="Calibri" w:cs="Arial"/>
          <w:b/>
          <w:bCs/>
          <w:szCs w:val="22"/>
        </w:rPr>
        <w:t>Strong MFA</w:t>
      </w:r>
      <w:r w:rsidRPr="003D3815">
        <w:rPr>
          <w:rFonts w:eastAsia="Calibri" w:cs="Arial"/>
          <w:szCs w:val="22"/>
        </w:rPr>
        <w:t xml:space="preserve"> (HIAWG requirement G) are judged to be </w:t>
      </w:r>
      <w:r w:rsidRPr="003D3815">
        <w:rPr>
          <w:rFonts w:eastAsia="Calibri" w:cs="Arial"/>
          <w:b/>
          <w:bCs/>
          <w:szCs w:val="22"/>
        </w:rPr>
        <w:t>weakly inconsistent</w:t>
      </w:r>
      <w:r w:rsidRPr="003D3815">
        <w:rPr>
          <w:rFonts w:eastAsia="Calibri" w:cs="Arial"/>
          <w:szCs w:val="22"/>
        </w:rPr>
        <w:t xml:space="preserve"> with </w:t>
      </w:r>
      <w:r w:rsidRPr="003D3815">
        <w:rPr>
          <w:rFonts w:eastAsia="Calibri" w:cs="Arial"/>
          <w:b/>
          <w:bCs/>
          <w:szCs w:val="22"/>
        </w:rPr>
        <w:t>Easy to Use</w:t>
      </w:r>
      <w:r w:rsidRPr="003D3815">
        <w:rPr>
          <w:rFonts w:eastAsia="Calibri" w:cs="Arial"/>
          <w:szCs w:val="22"/>
        </w:rPr>
        <w:t xml:space="preserve"> (NSTIC Principle 7)</w:t>
      </w:r>
    </w:p>
    <w:p w14:paraId="6E3D4A17" w14:textId="77777777" w:rsidR="00FB2319" w:rsidRPr="003D3815" w:rsidRDefault="00FB2319" w:rsidP="00FB2319">
      <w:pPr>
        <w:spacing w:before="0" w:after="160" w:line="259" w:lineRule="auto"/>
        <w:rPr>
          <w:rFonts w:eastAsia="Calibri" w:cs="Arial"/>
          <w:b/>
          <w:bCs/>
          <w:szCs w:val="22"/>
        </w:rPr>
      </w:pPr>
      <w:r w:rsidRPr="003D3815">
        <w:rPr>
          <w:rFonts w:eastAsia="Calibri" w:cs="Arial"/>
          <w:b/>
          <w:bCs/>
          <w:szCs w:val="22"/>
        </w:rPr>
        <w:br w:type="page"/>
      </w:r>
      <w:r w:rsidRPr="003D3815">
        <w:rPr>
          <w:rFonts w:eastAsia="Calibri" w:cs="Arial"/>
          <w:b/>
          <w:bCs/>
          <w:color w:val="201F1E"/>
          <w:szCs w:val="22"/>
          <w:lang w:val="en"/>
        </w:rPr>
        <w:lastRenderedPageBreak/>
        <w:t xml:space="preserve">HIAWG Member Comments on Individual Cell Scores </w:t>
      </w:r>
    </w:p>
    <w:tbl>
      <w:tblPr>
        <w:tblStyle w:val="TableGrid1"/>
        <w:tblW w:w="0" w:type="auto"/>
        <w:tblLook w:val="04A0" w:firstRow="1" w:lastRow="0" w:firstColumn="1" w:lastColumn="0" w:noHBand="0" w:noVBand="1"/>
      </w:tblPr>
      <w:tblGrid>
        <w:gridCol w:w="882"/>
        <w:gridCol w:w="12788"/>
      </w:tblGrid>
      <w:tr w:rsidR="00FB2319" w:rsidRPr="003D3815" w14:paraId="799F0BA3" w14:textId="77777777" w:rsidTr="00FB2319">
        <w:tc>
          <w:tcPr>
            <w:tcW w:w="895" w:type="dxa"/>
            <w:shd w:val="clear" w:color="auto" w:fill="BFBFBF"/>
          </w:tcPr>
          <w:p w14:paraId="40504460" w14:textId="77777777" w:rsidR="00FB2319" w:rsidRPr="003D3815" w:rsidRDefault="00FB2319" w:rsidP="00FB2319">
            <w:pPr>
              <w:spacing w:before="0" w:after="0" w:line="240" w:lineRule="auto"/>
              <w:jc w:val="center"/>
              <w:rPr>
                <w:rFonts w:eastAsia="Calibri" w:cs="Arial"/>
                <w:b/>
                <w:bCs/>
              </w:rPr>
            </w:pPr>
            <w:r w:rsidRPr="003D3815">
              <w:rPr>
                <w:rFonts w:eastAsia="Calibri" w:cs="Arial"/>
                <w:b/>
                <w:bCs/>
              </w:rPr>
              <w:t>Cell</w:t>
            </w:r>
          </w:p>
        </w:tc>
        <w:tc>
          <w:tcPr>
            <w:tcW w:w="13320" w:type="dxa"/>
            <w:shd w:val="clear" w:color="auto" w:fill="BFBFBF"/>
          </w:tcPr>
          <w:p w14:paraId="625BDFA1" w14:textId="77777777" w:rsidR="00FB2319" w:rsidRPr="003D3815" w:rsidRDefault="00FB2319" w:rsidP="00FB2319">
            <w:pPr>
              <w:spacing w:before="0" w:after="0" w:line="240" w:lineRule="auto"/>
              <w:jc w:val="center"/>
              <w:rPr>
                <w:rFonts w:eastAsia="Calibri" w:cs="Arial"/>
                <w:b/>
                <w:bCs/>
              </w:rPr>
            </w:pPr>
            <w:r w:rsidRPr="003D3815">
              <w:rPr>
                <w:rFonts w:eastAsia="Calibri" w:cs="Arial"/>
                <w:b/>
                <w:bCs/>
              </w:rPr>
              <w:t>Comment</w:t>
            </w:r>
          </w:p>
        </w:tc>
      </w:tr>
      <w:tr w:rsidR="00FB2319" w:rsidRPr="003D3815" w14:paraId="1E6084D8" w14:textId="77777777" w:rsidTr="00891894">
        <w:tc>
          <w:tcPr>
            <w:tcW w:w="895" w:type="dxa"/>
          </w:tcPr>
          <w:p w14:paraId="658E587C" w14:textId="77777777" w:rsidR="00FB2319" w:rsidRPr="003D3815" w:rsidRDefault="00FB2319" w:rsidP="00FB2319">
            <w:pPr>
              <w:spacing w:before="0" w:after="0" w:line="240" w:lineRule="auto"/>
              <w:jc w:val="center"/>
              <w:rPr>
                <w:rFonts w:eastAsia="Calibri" w:cs="Arial"/>
              </w:rPr>
            </w:pPr>
            <w:r w:rsidRPr="003D3815">
              <w:rPr>
                <w:rFonts w:eastAsia="Calibri" w:cs="Arial"/>
              </w:rPr>
              <w:t>A-1</w:t>
            </w:r>
          </w:p>
        </w:tc>
        <w:tc>
          <w:tcPr>
            <w:tcW w:w="13320" w:type="dxa"/>
          </w:tcPr>
          <w:p w14:paraId="20E57905" w14:textId="77777777" w:rsidR="00FB2319" w:rsidRPr="003D3815" w:rsidRDefault="00FB2319" w:rsidP="00FB2319">
            <w:pPr>
              <w:spacing w:before="0" w:after="0" w:line="240" w:lineRule="auto"/>
              <w:rPr>
                <w:rFonts w:eastAsia="Calibri" w:cs="Arial"/>
              </w:rPr>
            </w:pPr>
            <w:r w:rsidRPr="003D3815">
              <w:rPr>
                <w:rFonts w:eastAsia="Calibri" w:cs="Arial"/>
                <w:color w:val="201F1E"/>
                <w:lang w:val="en"/>
              </w:rPr>
              <w:t>Marginal extra protection against inadvertent disclosure of ID or medical info.</w:t>
            </w:r>
          </w:p>
        </w:tc>
      </w:tr>
      <w:tr w:rsidR="00FB2319" w:rsidRPr="003D3815" w14:paraId="21EE3A79" w14:textId="77777777" w:rsidTr="00891894">
        <w:tc>
          <w:tcPr>
            <w:tcW w:w="895" w:type="dxa"/>
          </w:tcPr>
          <w:p w14:paraId="77D505A4" w14:textId="77777777" w:rsidR="00FB2319" w:rsidRPr="003D3815" w:rsidRDefault="00FB2319" w:rsidP="00FB2319">
            <w:pPr>
              <w:spacing w:before="0" w:after="0" w:line="240" w:lineRule="auto"/>
              <w:jc w:val="center"/>
              <w:rPr>
                <w:rFonts w:eastAsia="Calibri" w:cs="Arial"/>
              </w:rPr>
            </w:pPr>
            <w:r w:rsidRPr="003D3815">
              <w:rPr>
                <w:rFonts w:eastAsia="Calibri" w:cs="Arial"/>
              </w:rPr>
              <w:t>A-3</w:t>
            </w:r>
          </w:p>
        </w:tc>
        <w:tc>
          <w:tcPr>
            <w:tcW w:w="13320" w:type="dxa"/>
          </w:tcPr>
          <w:p w14:paraId="4246671A" w14:textId="77777777" w:rsidR="00FB2319" w:rsidRPr="003D3815" w:rsidRDefault="00FB2319" w:rsidP="00FB2319">
            <w:pPr>
              <w:spacing w:before="0" w:after="0" w:line="240" w:lineRule="auto"/>
              <w:rPr>
                <w:rFonts w:eastAsia="Calibri" w:cs="Arial"/>
              </w:rPr>
            </w:pPr>
            <w:r w:rsidRPr="003D3815">
              <w:rPr>
                <w:rFonts w:eastAsia="Calibri" w:cs="Arial"/>
                <w:color w:val="201F1E"/>
                <w:lang w:val="en"/>
              </w:rPr>
              <w:t>Cyber-attack on IDs scored under HIAWG G (MFA). This positive score is for fewer inadvertent errors</w:t>
            </w:r>
          </w:p>
        </w:tc>
      </w:tr>
      <w:tr w:rsidR="00FB2319" w:rsidRPr="003D3815" w14:paraId="1F6BC2D3" w14:textId="77777777" w:rsidTr="00891894">
        <w:tc>
          <w:tcPr>
            <w:tcW w:w="895" w:type="dxa"/>
          </w:tcPr>
          <w:p w14:paraId="4B45E842" w14:textId="77777777" w:rsidR="00FB2319" w:rsidRPr="003D3815" w:rsidRDefault="00FB2319" w:rsidP="00FB2319">
            <w:pPr>
              <w:spacing w:before="0" w:after="0" w:line="240" w:lineRule="auto"/>
              <w:jc w:val="center"/>
              <w:rPr>
                <w:rFonts w:eastAsia="Calibri" w:cs="Arial"/>
              </w:rPr>
            </w:pPr>
            <w:r w:rsidRPr="003D3815">
              <w:rPr>
                <w:rFonts w:eastAsia="Calibri" w:cs="Arial"/>
              </w:rPr>
              <w:t>A-6</w:t>
            </w:r>
          </w:p>
        </w:tc>
        <w:tc>
          <w:tcPr>
            <w:tcW w:w="13320" w:type="dxa"/>
          </w:tcPr>
          <w:p w14:paraId="53EBFD93" w14:textId="77777777" w:rsidR="00FB2319" w:rsidRPr="003D3815" w:rsidRDefault="00FB2319" w:rsidP="00FB2319">
            <w:pPr>
              <w:spacing w:before="0" w:after="0" w:line="240" w:lineRule="auto"/>
              <w:rPr>
                <w:rFonts w:eastAsia="Calibri" w:cs="Arial"/>
              </w:rPr>
            </w:pPr>
            <w:r w:rsidRPr="003D3815">
              <w:rPr>
                <w:rFonts w:eastAsia="Calibri" w:cs="Arial"/>
              </w:rPr>
              <w:t>Generally, achieving 100% reliability of anything is very costly</w:t>
            </w:r>
          </w:p>
        </w:tc>
      </w:tr>
      <w:tr w:rsidR="00FB2319" w:rsidRPr="003D3815" w14:paraId="7BDF9ABC" w14:textId="77777777" w:rsidTr="00891894">
        <w:tc>
          <w:tcPr>
            <w:tcW w:w="895" w:type="dxa"/>
          </w:tcPr>
          <w:p w14:paraId="041DEB01" w14:textId="77777777" w:rsidR="00FB2319" w:rsidRPr="003D3815" w:rsidRDefault="00FB2319" w:rsidP="00FB2319">
            <w:pPr>
              <w:spacing w:before="0" w:after="0" w:line="240" w:lineRule="auto"/>
              <w:jc w:val="center"/>
              <w:rPr>
                <w:rFonts w:eastAsia="Calibri" w:cs="Arial"/>
              </w:rPr>
            </w:pPr>
            <w:r w:rsidRPr="003D3815">
              <w:rPr>
                <w:rFonts w:eastAsia="Calibri" w:cs="Arial"/>
              </w:rPr>
              <w:t>B-1</w:t>
            </w:r>
          </w:p>
        </w:tc>
        <w:tc>
          <w:tcPr>
            <w:tcW w:w="13320" w:type="dxa"/>
          </w:tcPr>
          <w:p w14:paraId="0ACD2A62" w14:textId="77777777" w:rsidR="00FB2319" w:rsidRPr="003D3815" w:rsidRDefault="00FB2319" w:rsidP="00FB2319">
            <w:pPr>
              <w:spacing w:before="0" w:after="0" w:line="240" w:lineRule="auto"/>
              <w:rPr>
                <w:rFonts w:eastAsia="Calibri" w:cs="Arial"/>
              </w:rPr>
            </w:pPr>
            <w:r w:rsidRPr="003D3815">
              <w:rPr>
                <w:rFonts w:eastAsia="Calibri" w:cs="Arial"/>
                <w:color w:val="201F1E"/>
                <w:lang w:val="en"/>
              </w:rPr>
              <w:t>Only minor negative impact from no prior consent for access, especially with accountability for BTG access provided by audit</w:t>
            </w:r>
          </w:p>
        </w:tc>
      </w:tr>
      <w:tr w:rsidR="00FB2319" w:rsidRPr="003D3815" w14:paraId="32DBD903" w14:textId="77777777" w:rsidTr="00891894">
        <w:tc>
          <w:tcPr>
            <w:tcW w:w="895" w:type="dxa"/>
          </w:tcPr>
          <w:p w14:paraId="4C4013C9" w14:textId="77777777" w:rsidR="00FB2319" w:rsidRPr="003D3815" w:rsidRDefault="00FB2319" w:rsidP="00FB2319">
            <w:pPr>
              <w:spacing w:before="0" w:after="0" w:line="240" w:lineRule="auto"/>
              <w:jc w:val="center"/>
              <w:rPr>
                <w:rFonts w:eastAsia="Calibri" w:cs="Arial"/>
              </w:rPr>
            </w:pPr>
            <w:r w:rsidRPr="003D3815">
              <w:rPr>
                <w:rFonts w:eastAsia="Calibri" w:cs="Arial"/>
              </w:rPr>
              <w:t>B-2</w:t>
            </w:r>
          </w:p>
        </w:tc>
        <w:tc>
          <w:tcPr>
            <w:tcW w:w="13320" w:type="dxa"/>
          </w:tcPr>
          <w:p w14:paraId="5143D8AA" w14:textId="77777777" w:rsidR="00FB2319" w:rsidRPr="003D3815" w:rsidRDefault="00FB2319" w:rsidP="00FB2319">
            <w:pPr>
              <w:spacing w:before="0" w:after="0" w:line="254" w:lineRule="auto"/>
              <w:rPr>
                <w:rFonts w:eastAsia="Times New Roman" w:cs="Arial"/>
              </w:rPr>
            </w:pPr>
            <w:r w:rsidRPr="003D3815">
              <w:rPr>
                <w:rFonts w:eastAsia="Times New Roman" w:cs="Arial"/>
                <w:color w:val="201F1E"/>
                <w:lang w:val="en"/>
              </w:rPr>
              <w:t>Very minor compromise of consent especially if consent is granted in advance for unspecified emergency situations</w:t>
            </w:r>
          </w:p>
        </w:tc>
      </w:tr>
      <w:tr w:rsidR="00FB2319" w:rsidRPr="003D3815" w14:paraId="54FED1E2" w14:textId="77777777" w:rsidTr="00891894">
        <w:tc>
          <w:tcPr>
            <w:tcW w:w="895" w:type="dxa"/>
          </w:tcPr>
          <w:p w14:paraId="3721071B" w14:textId="77777777" w:rsidR="00FB2319" w:rsidRPr="003D3815" w:rsidRDefault="00FB2319" w:rsidP="00FB2319">
            <w:pPr>
              <w:spacing w:before="0" w:after="0" w:line="240" w:lineRule="auto"/>
              <w:jc w:val="center"/>
              <w:rPr>
                <w:rFonts w:eastAsia="Calibri" w:cs="Arial"/>
              </w:rPr>
            </w:pPr>
            <w:r w:rsidRPr="003D3815">
              <w:rPr>
                <w:rFonts w:eastAsia="Calibri" w:cs="Arial"/>
              </w:rPr>
              <w:t>B-7</w:t>
            </w:r>
          </w:p>
        </w:tc>
        <w:tc>
          <w:tcPr>
            <w:tcW w:w="13320" w:type="dxa"/>
          </w:tcPr>
          <w:p w14:paraId="091A676F" w14:textId="77777777" w:rsidR="00FB2319" w:rsidRPr="003D3815" w:rsidRDefault="00FB2319" w:rsidP="00FB2319">
            <w:pPr>
              <w:spacing w:before="0" w:after="0" w:line="240" w:lineRule="auto"/>
              <w:rPr>
                <w:rFonts w:eastAsia="Calibri" w:cs="Arial"/>
              </w:rPr>
            </w:pPr>
            <w:r w:rsidRPr="003D3815">
              <w:rPr>
                <w:rFonts w:eastAsia="Calibri" w:cs="Arial"/>
                <w:color w:val="201F1E"/>
                <w:lang w:val="en"/>
              </w:rPr>
              <w:t>Good BTG implementation provides clear, quick path for appropriate emergency response</w:t>
            </w:r>
          </w:p>
        </w:tc>
      </w:tr>
      <w:tr w:rsidR="00FB2319" w:rsidRPr="003D3815" w14:paraId="7AB595D5" w14:textId="77777777" w:rsidTr="00891894">
        <w:tc>
          <w:tcPr>
            <w:tcW w:w="895" w:type="dxa"/>
          </w:tcPr>
          <w:p w14:paraId="4EC6ACA8" w14:textId="77777777" w:rsidR="00FB2319" w:rsidRPr="003D3815" w:rsidRDefault="00FB2319" w:rsidP="00FB2319">
            <w:pPr>
              <w:spacing w:before="0" w:after="0" w:line="240" w:lineRule="auto"/>
              <w:jc w:val="center"/>
              <w:rPr>
                <w:rFonts w:eastAsia="Calibri" w:cs="Arial"/>
              </w:rPr>
            </w:pPr>
            <w:r w:rsidRPr="003D3815">
              <w:rPr>
                <w:rFonts w:eastAsia="Calibri" w:cs="Arial"/>
              </w:rPr>
              <w:t>C-2</w:t>
            </w:r>
          </w:p>
        </w:tc>
        <w:tc>
          <w:tcPr>
            <w:tcW w:w="13320" w:type="dxa"/>
          </w:tcPr>
          <w:p w14:paraId="36DA95E7" w14:textId="77777777" w:rsidR="00FB2319" w:rsidRPr="003D3815" w:rsidRDefault="00FB2319" w:rsidP="00FB2319">
            <w:pPr>
              <w:spacing w:before="0" w:after="0" w:line="240" w:lineRule="auto"/>
              <w:rPr>
                <w:rFonts w:eastAsia="Calibri" w:cs="Arial"/>
              </w:rPr>
            </w:pPr>
            <w:r w:rsidRPr="003D3815">
              <w:rPr>
                <w:rFonts w:eastAsia="Calibri" w:cs="Arial"/>
                <w:color w:val="201F1E"/>
                <w:lang w:val="en"/>
              </w:rPr>
              <w:t>Score based on interpreting NSTIC "Voluntary" principle as "providing maximizing user control" (not the original meaning, which was related to concern about Government-mandated “national IDs”)</w:t>
            </w:r>
          </w:p>
        </w:tc>
      </w:tr>
      <w:tr w:rsidR="00FB2319" w:rsidRPr="003D3815" w14:paraId="1A596F5B" w14:textId="77777777" w:rsidTr="00891894">
        <w:tc>
          <w:tcPr>
            <w:tcW w:w="895" w:type="dxa"/>
          </w:tcPr>
          <w:p w14:paraId="23420132" w14:textId="77777777" w:rsidR="00FB2319" w:rsidRPr="003D3815" w:rsidRDefault="00FB2319" w:rsidP="00FB2319">
            <w:pPr>
              <w:spacing w:before="0" w:after="0" w:line="240" w:lineRule="auto"/>
              <w:jc w:val="center"/>
              <w:rPr>
                <w:rFonts w:eastAsia="Calibri" w:cs="Arial"/>
              </w:rPr>
            </w:pPr>
            <w:r w:rsidRPr="003D3815">
              <w:rPr>
                <w:rFonts w:eastAsia="Calibri" w:cs="Arial"/>
              </w:rPr>
              <w:t>C-3</w:t>
            </w:r>
          </w:p>
        </w:tc>
        <w:tc>
          <w:tcPr>
            <w:tcW w:w="13320" w:type="dxa"/>
          </w:tcPr>
          <w:p w14:paraId="36349589" w14:textId="77777777" w:rsidR="00FB2319" w:rsidRPr="003D3815" w:rsidRDefault="00FB2319" w:rsidP="00FB2319">
            <w:pPr>
              <w:spacing w:before="0" w:after="0" w:line="254" w:lineRule="auto"/>
              <w:rPr>
                <w:rFonts w:eastAsia="Times New Roman" w:cs="Arial"/>
              </w:rPr>
            </w:pPr>
            <w:r w:rsidRPr="003D3815">
              <w:rPr>
                <w:rFonts w:eastAsia="Times New Roman" w:cs="Arial"/>
                <w:color w:val="201F1E"/>
                <w:lang w:val="en"/>
              </w:rPr>
              <w:t>Providing relative anonymity may inhibit some authorized forensics but technology is available to implement with reasonable limitations</w:t>
            </w:r>
          </w:p>
        </w:tc>
      </w:tr>
      <w:tr w:rsidR="00FB2319" w:rsidRPr="003D3815" w14:paraId="6EEE2489" w14:textId="77777777" w:rsidTr="00891894">
        <w:tc>
          <w:tcPr>
            <w:tcW w:w="895" w:type="dxa"/>
          </w:tcPr>
          <w:p w14:paraId="7411AD94" w14:textId="77777777" w:rsidR="00FB2319" w:rsidRPr="003D3815" w:rsidRDefault="00FB2319" w:rsidP="00FB2319">
            <w:pPr>
              <w:spacing w:before="0" w:after="0" w:line="240" w:lineRule="auto"/>
              <w:jc w:val="center"/>
              <w:rPr>
                <w:rFonts w:eastAsia="Calibri" w:cs="Arial"/>
              </w:rPr>
            </w:pPr>
            <w:r w:rsidRPr="003D3815">
              <w:rPr>
                <w:rFonts w:eastAsia="Calibri" w:cs="Arial"/>
              </w:rPr>
              <w:t>C-5</w:t>
            </w:r>
          </w:p>
        </w:tc>
        <w:tc>
          <w:tcPr>
            <w:tcW w:w="13320" w:type="dxa"/>
          </w:tcPr>
          <w:p w14:paraId="653CF775" w14:textId="77777777" w:rsidR="00FB2319" w:rsidRPr="003D3815" w:rsidRDefault="00FB2319" w:rsidP="00FB2319">
            <w:pPr>
              <w:spacing w:before="0" w:after="0" w:line="254" w:lineRule="auto"/>
              <w:rPr>
                <w:rFonts w:eastAsia="Times New Roman" w:cs="Arial"/>
              </w:rPr>
            </w:pPr>
            <w:r w:rsidRPr="003D3815">
              <w:rPr>
                <w:rFonts w:eastAsia="Times New Roman" w:cs="Arial"/>
                <w:color w:val="201F1E"/>
                <w:lang w:val="en"/>
              </w:rPr>
              <w:t>Adds a requirement (meaning more complexity) for all participants considering supporting federated credentials</w:t>
            </w:r>
          </w:p>
        </w:tc>
      </w:tr>
      <w:tr w:rsidR="00FB2319" w:rsidRPr="003D3815" w14:paraId="13EC6187" w14:textId="77777777" w:rsidTr="00891894">
        <w:tc>
          <w:tcPr>
            <w:tcW w:w="895" w:type="dxa"/>
          </w:tcPr>
          <w:p w14:paraId="40FC7E3A" w14:textId="77777777" w:rsidR="00FB2319" w:rsidRPr="003D3815" w:rsidRDefault="00FB2319" w:rsidP="00FB2319">
            <w:pPr>
              <w:spacing w:before="0" w:after="0" w:line="240" w:lineRule="auto"/>
              <w:jc w:val="center"/>
              <w:rPr>
                <w:rFonts w:eastAsia="Calibri" w:cs="Arial"/>
              </w:rPr>
            </w:pPr>
            <w:r w:rsidRPr="003D3815">
              <w:rPr>
                <w:rFonts w:eastAsia="Calibri" w:cs="Arial"/>
              </w:rPr>
              <w:t>C-6</w:t>
            </w:r>
          </w:p>
        </w:tc>
        <w:tc>
          <w:tcPr>
            <w:tcW w:w="13320" w:type="dxa"/>
          </w:tcPr>
          <w:p w14:paraId="3183449F" w14:textId="77777777" w:rsidR="00FB2319" w:rsidRPr="003D3815" w:rsidRDefault="00FB2319" w:rsidP="00FB2319">
            <w:pPr>
              <w:spacing w:before="0" w:after="0" w:line="254" w:lineRule="auto"/>
              <w:rPr>
                <w:rFonts w:eastAsia="Times New Roman" w:cs="Arial"/>
              </w:rPr>
            </w:pPr>
            <w:r w:rsidRPr="003D3815">
              <w:rPr>
                <w:rFonts w:eastAsia="Times New Roman" w:cs="Arial"/>
                <w:color w:val="201F1E"/>
                <w:lang w:val="en"/>
              </w:rPr>
              <w:t>Adds cost to implement for all federating participants</w:t>
            </w:r>
          </w:p>
        </w:tc>
      </w:tr>
      <w:tr w:rsidR="00FB2319" w:rsidRPr="003D3815" w14:paraId="0CAD2369" w14:textId="77777777" w:rsidTr="00891894">
        <w:tc>
          <w:tcPr>
            <w:tcW w:w="895" w:type="dxa"/>
          </w:tcPr>
          <w:p w14:paraId="6E6642BE" w14:textId="77777777" w:rsidR="00FB2319" w:rsidRPr="003D3815" w:rsidRDefault="00FB2319" w:rsidP="00FB2319">
            <w:pPr>
              <w:spacing w:before="0" w:after="0" w:line="240" w:lineRule="auto"/>
              <w:jc w:val="center"/>
              <w:rPr>
                <w:rFonts w:eastAsia="Calibri" w:cs="Arial"/>
              </w:rPr>
            </w:pPr>
            <w:r w:rsidRPr="003D3815">
              <w:rPr>
                <w:rFonts w:eastAsia="Calibri" w:cs="Arial"/>
              </w:rPr>
              <w:t>D-1</w:t>
            </w:r>
          </w:p>
        </w:tc>
        <w:tc>
          <w:tcPr>
            <w:tcW w:w="13320" w:type="dxa"/>
          </w:tcPr>
          <w:p w14:paraId="641B76E5" w14:textId="77777777" w:rsidR="00FB2319" w:rsidRPr="003D3815" w:rsidRDefault="00FB2319" w:rsidP="00FB2319">
            <w:pPr>
              <w:spacing w:before="0" w:after="0" w:line="254" w:lineRule="auto"/>
              <w:rPr>
                <w:rFonts w:eastAsia="Times New Roman" w:cs="Arial"/>
              </w:rPr>
            </w:pPr>
            <w:r w:rsidRPr="003D3815">
              <w:rPr>
                <w:rFonts w:eastAsia="Times New Roman" w:cs="Arial"/>
                <w:color w:val="201F1E"/>
                <w:lang w:val="en"/>
              </w:rPr>
              <w:t>Provides accountability that will inhibit unauthorized info access (e.g. "browsing”)</w:t>
            </w:r>
          </w:p>
        </w:tc>
      </w:tr>
      <w:tr w:rsidR="00FB2319" w:rsidRPr="003D3815" w14:paraId="1F22F022" w14:textId="77777777" w:rsidTr="00891894">
        <w:tc>
          <w:tcPr>
            <w:tcW w:w="895" w:type="dxa"/>
          </w:tcPr>
          <w:p w14:paraId="69341C0E" w14:textId="77777777" w:rsidR="00FB2319" w:rsidRPr="003D3815" w:rsidRDefault="00FB2319" w:rsidP="00FB2319">
            <w:pPr>
              <w:spacing w:before="0" w:after="0" w:line="240" w:lineRule="auto"/>
              <w:jc w:val="center"/>
              <w:rPr>
                <w:rFonts w:eastAsia="Calibri" w:cs="Arial"/>
              </w:rPr>
            </w:pPr>
            <w:r w:rsidRPr="003D3815">
              <w:rPr>
                <w:rFonts w:eastAsia="Calibri" w:cs="Arial"/>
              </w:rPr>
              <w:t>D-2</w:t>
            </w:r>
          </w:p>
        </w:tc>
        <w:tc>
          <w:tcPr>
            <w:tcW w:w="13320" w:type="dxa"/>
          </w:tcPr>
          <w:p w14:paraId="0F2525AC" w14:textId="77777777" w:rsidR="00FB2319" w:rsidRPr="003D3815" w:rsidRDefault="00FB2319" w:rsidP="00FB2319">
            <w:pPr>
              <w:spacing w:before="0" w:after="0" w:line="240" w:lineRule="auto"/>
              <w:rPr>
                <w:rFonts w:eastAsia="Calibri" w:cs="Arial"/>
              </w:rPr>
            </w:pPr>
            <w:r w:rsidRPr="003D3815">
              <w:rPr>
                <w:rFonts w:eastAsia="Calibri" w:cs="Arial"/>
                <w:color w:val="201F1E"/>
                <w:lang w:val="en"/>
              </w:rPr>
              <w:t xml:space="preserve">Compromises anonymity, but technical and policy controls can assure any compromise is limited and accountable </w:t>
            </w:r>
          </w:p>
        </w:tc>
      </w:tr>
      <w:tr w:rsidR="00FB2319" w:rsidRPr="003D3815" w14:paraId="4DBFA065" w14:textId="77777777" w:rsidTr="00891894">
        <w:tc>
          <w:tcPr>
            <w:tcW w:w="895" w:type="dxa"/>
          </w:tcPr>
          <w:p w14:paraId="1A63081E" w14:textId="77777777" w:rsidR="00FB2319" w:rsidRPr="003D3815" w:rsidRDefault="00FB2319" w:rsidP="00FB2319">
            <w:pPr>
              <w:spacing w:before="0" w:after="0" w:line="240" w:lineRule="auto"/>
              <w:jc w:val="center"/>
              <w:rPr>
                <w:rFonts w:eastAsia="Calibri" w:cs="Arial"/>
              </w:rPr>
            </w:pPr>
            <w:r w:rsidRPr="003D3815">
              <w:rPr>
                <w:rFonts w:eastAsia="Calibri" w:cs="Arial"/>
              </w:rPr>
              <w:t>D-4</w:t>
            </w:r>
          </w:p>
        </w:tc>
        <w:tc>
          <w:tcPr>
            <w:tcW w:w="13320" w:type="dxa"/>
          </w:tcPr>
          <w:p w14:paraId="643B307A" w14:textId="77777777" w:rsidR="00FB2319" w:rsidRPr="003D3815" w:rsidRDefault="00FB2319" w:rsidP="00FB2319">
            <w:pPr>
              <w:spacing w:before="0" w:after="0" w:line="240" w:lineRule="auto"/>
              <w:rPr>
                <w:rFonts w:eastAsia="Calibri" w:cs="Arial"/>
              </w:rPr>
            </w:pPr>
            <w:r w:rsidRPr="003D3815">
              <w:rPr>
                <w:rFonts w:eastAsia="Calibri" w:cs="Arial"/>
                <w:color w:val="201F1E"/>
                <w:lang w:val="en"/>
              </w:rPr>
              <w:t>Not the main resource for restoring data after a disaster or compromise but might contribute in some cases</w:t>
            </w:r>
          </w:p>
        </w:tc>
      </w:tr>
      <w:tr w:rsidR="00FB2319" w:rsidRPr="003D3815" w14:paraId="5B89A4ED" w14:textId="77777777" w:rsidTr="00891894">
        <w:tc>
          <w:tcPr>
            <w:tcW w:w="895" w:type="dxa"/>
          </w:tcPr>
          <w:p w14:paraId="4B7927FE" w14:textId="77777777" w:rsidR="00FB2319" w:rsidRPr="003D3815" w:rsidRDefault="00FB2319" w:rsidP="00FB2319">
            <w:pPr>
              <w:spacing w:before="0" w:after="0" w:line="240" w:lineRule="auto"/>
              <w:jc w:val="center"/>
              <w:rPr>
                <w:rFonts w:eastAsia="Calibri" w:cs="Arial"/>
              </w:rPr>
            </w:pPr>
            <w:r w:rsidRPr="003D3815">
              <w:rPr>
                <w:rFonts w:eastAsia="Calibri" w:cs="Arial"/>
              </w:rPr>
              <w:t>D-5</w:t>
            </w:r>
          </w:p>
        </w:tc>
        <w:tc>
          <w:tcPr>
            <w:tcW w:w="13320" w:type="dxa"/>
          </w:tcPr>
          <w:p w14:paraId="02002B4C" w14:textId="77777777" w:rsidR="00FB2319" w:rsidRPr="003D3815" w:rsidRDefault="00FB2319" w:rsidP="00FB2319">
            <w:pPr>
              <w:spacing w:before="0" w:after="0" w:line="240" w:lineRule="auto"/>
              <w:rPr>
                <w:rFonts w:eastAsia="Calibri" w:cs="Arial"/>
              </w:rPr>
            </w:pPr>
            <w:r w:rsidRPr="003D3815">
              <w:rPr>
                <w:rFonts w:eastAsia="Calibri" w:cs="Arial"/>
                <w:color w:val="201F1E"/>
                <w:lang w:val="en"/>
              </w:rPr>
              <w:t>Small positive score for precise timestamping</w:t>
            </w:r>
          </w:p>
        </w:tc>
      </w:tr>
      <w:tr w:rsidR="00FB2319" w:rsidRPr="003D3815" w14:paraId="626FB3E4" w14:textId="77777777" w:rsidTr="00891894">
        <w:tc>
          <w:tcPr>
            <w:tcW w:w="895" w:type="dxa"/>
          </w:tcPr>
          <w:p w14:paraId="4A88F948" w14:textId="77777777" w:rsidR="00FB2319" w:rsidRPr="003D3815" w:rsidRDefault="00FB2319" w:rsidP="00FB2319">
            <w:pPr>
              <w:spacing w:before="0" w:after="0" w:line="240" w:lineRule="auto"/>
              <w:jc w:val="center"/>
              <w:rPr>
                <w:rFonts w:eastAsia="Calibri" w:cs="Arial"/>
              </w:rPr>
            </w:pPr>
            <w:r w:rsidRPr="003D3815">
              <w:rPr>
                <w:rFonts w:eastAsia="Calibri" w:cs="Arial"/>
              </w:rPr>
              <w:t>F-6</w:t>
            </w:r>
          </w:p>
        </w:tc>
        <w:tc>
          <w:tcPr>
            <w:tcW w:w="13320" w:type="dxa"/>
          </w:tcPr>
          <w:p w14:paraId="03D02031" w14:textId="77777777" w:rsidR="00FB2319" w:rsidRPr="003D3815" w:rsidRDefault="00FB2319" w:rsidP="00FB2319">
            <w:pPr>
              <w:spacing w:before="0" w:after="0" w:line="254" w:lineRule="auto"/>
              <w:rPr>
                <w:rFonts w:eastAsia="Times New Roman" w:cs="Arial"/>
              </w:rPr>
            </w:pPr>
            <w:r w:rsidRPr="003D3815">
              <w:rPr>
                <w:rFonts w:eastAsia="Times New Roman" w:cs="Arial"/>
                <w:color w:val="201F1E"/>
                <w:lang w:val="en"/>
              </w:rPr>
              <w:t>Resilient systems are costly to implement and operate, but likely less costly than down-time of increasingly essential IT systems </w:t>
            </w:r>
          </w:p>
        </w:tc>
      </w:tr>
      <w:tr w:rsidR="00FB2319" w:rsidRPr="003D3815" w14:paraId="7AF8134D" w14:textId="77777777" w:rsidTr="00891894">
        <w:tc>
          <w:tcPr>
            <w:tcW w:w="895" w:type="dxa"/>
          </w:tcPr>
          <w:p w14:paraId="72552597" w14:textId="77777777" w:rsidR="00FB2319" w:rsidRPr="003D3815" w:rsidRDefault="00FB2319" w:rsidP="00FB2319">
            <w:pPr>
              <w:spacing w:before="0" w:after="0" w:line="240" w:lineRule="auto"/>
              <w:jc w:val="center"/>
              <w:rPr>
                <w:rFonts w:eastAsia="Calibri" w:cs="Arial"/>
              </w:rPr>
            </w:pPr>
            <w:r w:rsidRPr="003D3815">
              <w:rPr>
                <w:rFonts w:eastAsia="Calibri" w:cs="Arial"/>
              </w:rPr>
              <w:t>H-1</w:t>
            </w:r>
          </w:p>
        </w:tc>
        <w:tc>
          <w:tcPr>
            <w:tcW w:w="13320" w:type="dxa"/>
          </w:tcPr>
          <w:p w14:paraId="4790040C" w14:textId="77777777" w:rsidR="00FB2319" w:rsidRPr="003D3815" w:rsidRDefault="00FB2319" w:rsidP="00FB2319">
            <w:pPr>
              <w:spacing w:before="0" w:after="0" w:line="254" w:lineRule="auto"/>
              <w:rPr>
                <w:rFonts w:eastAsia="Times New Roman" w:cs="Arial"/>
                <w:color w:val="201F1E"/>
                <w:lang w:val="en"/>
              </w:rPr>
            </w:pPr>
            <w:r w:rsidRPr="003D3815">
              <w:rPr>
                <w:rFonts w:eastAsia="Times New Roman" w:cs="Arial"/>
                <w:color w:val="201F1E"/>
                <w:lang w:val="en"/>
              </w:rPr>
              <w:t xml:space="preserve">Positive score based on better protection of sensitive information.    </w:t>
            </w:r>
          </w:p>
        </w:tc>
      </w:tr>
      <w:tr w:rsidR="00FB2319" w:rsidRPr="003D3815" w14:paraId="5E1F83AE" w14:textId="77777777" w:rsidTr="00891894">
        <w:tc>
          <w:tcPr>
            <w:tcW w:w="895" w:type="dxa"/>
          </w:tcPr>
          <w:p w14:paraId="1A09741A" w14:textId="77777777" w:rsidR="00FB2319" w:rsidRPr="003D3815" w:rsidRDefault="00FB2319" w:rsidP="00FB2319">
            <w:pPr>
              <w:spacing w:before="0" w:after="0" w:line="240" w:lineRule="auto"/>
              <w:jc w:val="center"/>
              <w:rPr>
                <w:rFonts w:eastAsia="Calibri" w:cs="Arial"/>
              </w:rPr>
            </w:pPr>
            <w:r w:rsidRPr="003D3815">
              <w:rPr>
                <w:rFonts w:eastAsia="Calibri" w:cs="Arial"/>
              </w:rPr>
              <w:t>H-5</w:t>
            </w:r>
          </w:p>
        </w:tc>
        <w:tc>
          <w:tcPr>
            <w:tcW w:w="13320" w:type="dxa"/>
          </w:tcPr>
          <w:p w14:paraId="77B7B81F" w14:textId="77777777" w:rsidR="00FB2319" w:rsidRPr="003D3815" w:rsidRDefault="00FB2319" w:rsidP="00FB2319">
            <w:pPr>
              <w:spacing w:before="0" w:after="0" w:line="254" w:lineRule="auto"/>
              <w:rPr>
                <w:rFonts w:eastAsia="Times New Roman" w:cs="Arial"/>
                <w:color w:val="201F1E"/>
                <w:lang w:val="en"/>
              </w:rPr>
            </w:pPr>
            <w:r w:rsidRPr="003D3815">
              <w:rPr>
                <w:rFonts w:eastAsia="Times New Roman" w:cs="Arial"/>
                <w:color w:val="201F1E"/>
                <w:lang w:val="en"/>
              </w:rPr>
              <w:t xml:space="preserve">Well-defined standards-based proofing is essential for acceptance of federated ID credentials. </w:t>
            </w:r>
          </w:p>
        </w:tc>
      </w:tr>
      <w:tr w:rsidR="00FB2319" w:rsidRPr="003D3815" w14:paraId="322F7BB0" w14:textId="77777777" w:rsidTr="00891894">
        <w:tc>
          <w:tcPr>
            <w:tcW w:w="895" w:type="dxa"/>
          </w:tcPr>
          <w:p w14:paraId="7A0BA551" w14:textId="77777777" w:rsidR="00FB2319" w:rsidRPr="003D3815" w:rsidRDefault="00FB2319" w:rsidP="00FB2319">
            <w:pPr>
              <w:spacing w:before="0" w:after="0" w:line="240" w:lineRule="auto"/>
              <w:jc w:val="center"/>
              <w:rPr>
                <w:rFonts w:eastAsia="Calibri" w:cs="Arial"/>
              </w:rPr>
            </w:pPr>
            <w:r w:rsidRPr="003D3815">
              <w:rPr>
                <w:rFonts w:eastAsia="Calibri" w:cs="Arial"/>
              </w:rPr>
              <w:t>H-6</w:t>
            </w:r>
          </w:p>
        </w:tc>
        <w:tc>
          <w:tcPr>
            <w:tcW w:w="13320" w:type="dxa"/>
          </w:tcPr>
          <w:p w14:paraId="2BD1FEFA" w14:textId="77777777" w:rsidR="00FB2319" w:rsidRPr="003D3815" w:rsidRDefault="00FB2319" w:rsidP="00FB2319">
            <w:pPr>
              <w:spacing w:before="0" w:after="0" w:line="254" w:lineRule="auto"/>
              <w:rPr>
                <w:rFonts w:eastAsia="Times New Roman" w:cs="Arial"/>
                <w:color w:val="201F1E"/>
                <w:lang w:val="en"/>
              </w:rPr>
            </w:pPr>
            <w:r w:rsidRPr="003D3815">
              <w:rPr>
                <w:rFonts w:eastAsia="Times New Roman" w:cs="Arial"/>
                <w:color w:val="201F1E"/>
                <w:lang w:val="en"/>
              </w:rPr>
              <w:t>Meaningful ID proofing is more expensive than current “known-to-the-practice” process</w:t>
            </w:r>
          </w:p>
        </w:tc>
      </w:tr>
      <w:tr w:rsidR="00FB2319" w:rsidRPr="003D3815" w14:paraId="74C96BE7" w14:textId="77777777" w:rsidTr="00891894">
        <w:tc>
          <w:tcPr>
            <w:tcW w:w="895" w:type="dxa"/>
          </w:tcPr>
          <w:p w14:paraId="62A8D19F" w14:textId="77777777" w:rsidR="00FB2319" w:rsidRPr="003D3815" w:rsidRDefault="00FB2319" w:rsidP="00FB2319">
            <w:pPr>
              <w:spacing w:before="0" w:after="0" w:line="240" w:lineRule="auto"/>
              <w:jc w:val="center"/>
              <w:rPr>
                <w:rFonts w:eastAsia="Calibri" w:cs="Arial"/>
              </w:rPr>
            </w:pPr>
            <w:r w:rsidRPr="003D3815">
              <w:rPr>
                <w:rFonts w:eastAsia="Calibri" w:cs="Arial"/>
              </w:rPr>
              <w:t>H-7</w:t>
            </w:r>
          </w:p>
        </w:tc>
        <w:tc>
          <w:tcPr>
            <w:tcW w:w="13320" w:type="dxa"/>
          </w:tcPr>
          <w:p w14:paraId="017EB3EE" w14:textId="77777777" w:rsidR="00FB2319" w:rsidRPr="003D3815" w:rsidRDefault="00FB2319" w:rsidP="00FB2319">
            <w:pPr>
              <w:spacing w:before="0" w:after="0" w:line="254" w:lineRule="auto"/>
              <w:rPr>
                <w:rFonts w:eastAsia="Times New Roman" w:cs="Arial"/>
                <w:color w:val="201F1E"/>
                <w:lang w:val="en"/>
              </w:rPr>
            </w:pPr>
            <w:r w:rsidRPr="003D3815">
              <w:rPr>
                <w:rFonts w:eastAsia="Times New Roman" w:cs="Arial"/>
                <w:color w:val="201F1E"/>
                <w:lang w:val="en"/>
              </w:rPr>
              <w:t>Meaningful risk-appropriate ID proofing will likely make initial credential issuance a longer and more complicated process for user/subscribers – especially for healthcare-provider staff</w:t>
            </w:r>
          </w:p>
        </w:tc>
      </w:tr>
      <w:tr w:rsidR="00FB2319" w:rsidRPr="003D3815" w14:paraId="1B3E632D" w14:textId="77777777" w:rsidTr="00891894">
        <w:tc>
          <w:tcPr>
            <w:tcW w:w="895" w:type="dxa"/>
          </w:tcPr>
          <w:p w14:paraId="6E3D70D5" w14:textId="77777777" w:rsidR="00FB2319" w:rsidRPr="003D3815" w:rsidRDefault="00FB2319" w:rsidP="00FB2319">
            <w:pPr>
              <w:spacing w:before="0" w:after="0" w:line="240" w:lineRule="auto"/>
              <w:jc w:val="center"/>
              <w:rPr>
                <w:rFonts w:eastAsia="Calibri" w:cs="Arial"/>
              </w:rPr>
            </w:pPr>
            <w:r w:rsidRPr="003D3815">
              <w:rPr>
                <w:rFonts w:eastAsia="Calibri" w:cs="Arial"/>
              </w:rPr>
              <w:t>J-5</w:t>
            </w:r>
          </w:p>
        </w:tc>
        <w:tc>
          <w:tcPr>
            <w:tcW w:w="13320" w:type="dxa"/>
          </w:tcPr>
          <w:p w14:paraId="461E80C2" w14:textId="77777777" w:rsidR="00FB2319" w:rsidRPr="003D3815" w:rsidRDefault="00FB2319" w:rsidP="00FB2319">
            <w:pPr>
              <w:spacing w:before="0" w:after="0" w:line="254" w:lineRule="auto"/>
              <w:rPr>
                <w:rFonts w:eastAsia="Times New Roman" w:cs="Arial"/>
                <w:color w:val="201F1E"/>
                <w:lang w:val="en"/>
              </w:rPr>
            </w:pPr>
            <w:r w:rsidRPr="003D3815">
              <w:rPr>
                <w:rFonts w:eastAsia="Times New Roman" w:cs="Arial"/>
                <w:color w:val="201F1E"/>
                <w:lang w:val="en"/>
              </w:rPr>
              <w:t>Effective redress procedures provide the basis for “trust” relationships among participants in a federated environment</w:t>
            </w:r>
          </w:p>
        </w:tc>
      </w:tr>
    </w:tbl>
    <w:p w14:paraId="28CCEB30" w14:textId="693E691F" w:rsidR="00B9574D" w:rsidRPr="003D3815" w:rsidRDefault="00B9574D" w:rsidP="006E1978"/>
    <w:p w14:paraId="1A53C599" w14:textId="77777777" w:rsidR="00B9574D" w:rsidRPr="003D3815" w:rsidRDefault="00B9574D">
      <w:pPr>
        <w:spacing w:before="0" w:after="0" w:line="240" w:lineRule="auto"/>
      </w:pPr>
      <w:r w:rsidRPr="003D3815">
        <w:br w:type="page"/>
      </w:r>
    </w:p>
    <w:p w14:paraId="7584AD05" w14:textId="77777777" w:rsidR="00B9574D" w:rsidRPr="003D3815" w:rsidRDefault="00B9574D" w:rsidP="006E1978">
      <w:pPr>
        <w:sectPr w:rsidR="00B9574D" w:rsidRPr="003D3815" w:rsidSect="000364E9">
          <w:headerReference w:type="first" r:id="rId19"/>
          <w:pgSz w:w="15840" w:h="12240" w:orient="landscape"/>
          <w:pgMar w:top="1530" w:right="720" w:bottom="1080" w:left="1440" w:header="706" w:footer="706" w:gutter="0"/>
          <w:lnNumType w:countBy="1" w:restart="continuous"/>
          <w:cols w:space="708"/>
          <w:docGrid w:linePitch="360"/>
        </w:sectPr>
      </w:pPr>
    </w:p>
    <w:p w14:paraId="437E8EF0" w14:textId="6F797C4A" w:rsidR="0034220F" w:rsidRPr="003D3815" w:rsidRDefault="00A705B8" w:rsidP="00A705B8">
      <w:pPr>
        <w:pStyle w:val="Heading1"/>
      </w:pPr>
      <w:bookmarkStart w:id="5" w:name="_Toc32859220"/>
      <w:r w:rsidRPr="003D3815">
        <w:lastRenderedPageBreak/>
        <w:t>Conclusions</w:t>
      </w:r>
      <w:bookmarkEnd w:id="5"/>
    </w:p>
    <w:p w14:paraId="30FC09FC" w14:textId="619882FD" w:rsidR="00A705B8" w:rsidRPr="003D3815" w:rsidRDefault="00183760" w:rsidP="00A705B8">
      <w:r w:rsidRPr="003D3815">
        <w:t xml:space="preserve">As indicated above, there appears to be </w:t>
      </w:r>
      <w:r w:rsidR="00F62020" w:rsidRPr="003D3815">
        <w:t xml:space="preserve">generally </w:t>
      </w:r>
      <w:r w:rsidRPr="003D3815">
        <w:t xml:space="preserve">good alignment between the HIAWG </w:t>
      </w:r>
      <w:r w:rsidR="00F62020" w:rsidRPr="003D3815">
        <w:t>D</w:t>
      </w:r>
      <w:r w:rsidRPr="003D3815">
        <w:t xml:space="preserve">esign </w:t>
      </w:r>
      <w:r w:rsidR="00F62020" w:rsidRPr="003D3815">
        <w:t>G</w:t>
      </w:r>
      <w:r w:rsidRPr="003D3815">
        <w:t xml:space="preserve">oals (i.e., high-level business requirements) and the Principles of the National Strategy for Trusted Identities in Cyberspace. However, </w:t>
      </w:r>
      <w:r w:rsidR="00F62020" w:rsidRPr="003D3815">
        <w:t xml:space="preserve">the Design Goals </w:t>
      </w:r>
      <w:r w:rsidR="00865972" w:rsidRPr="003D3815">
        <w:t xml:space="preserve">are very far from being sufficiently detailed to serve as requirements for an implementable architecture, and as detail is added there will certainly be trade-offs to be made. For example, it </w:t>
      </w:r>
      <w:r w:rsidR="00C57288" w:rsidRPr="003D3815">
        <w:t xml:space="preserve">seems likely that requirements for </w:t>
      </w:r>
      <w:r w:rsidR="00865972" w:rsidRPr="003D3815">
        <w:t xml:space="preserve">security, which significantly depend on accountability of users for their actions, will limit the </w:t>
      </w:r>
      <w:r w:rsidR="00C57288" w:rsidRPr="003D3815">
        <w:t xml:space="preserve">extent to which user </w:t>
      </w:r>
      <w:r w:rsidR="00B928EE" w:rsidRPr="003D3815">
        <w:t xml:space="preserve">activity </w:t>
      </w:r>
      <w:r w:rsidR="00C57288" w:rsidRPr="003D3815">
        <w:t xml:space="preserve">can be anonymous. In the healthcare sector particularly, current US Federal </w:t>
      </w:r>
      <w:r w:rsidR="006C6DE4" w:rsidRPr="003D3815">
        <w:t>policymakers</w:t>
      </w:r>
      <w:r w:rsidR="00C57288" w:rsidRPr="003D3815">
        <w:t xml:space="preserve"> seem inclined to rely on regulation to achieve one NSTIC Principle (interoperability), seemingly at the expense of another Principle (voluntary.) To progress toward an implementable healthcare identity architecture these </w:t>
      </w:r>
      <w:r w:rsidR="001C7F35" w:rsidRPr="003D3815">
        <w:t xml:space="preserve">apparent inconsistencies (or at least trade-offs) will have to be confronted and resolved. </w:t>
      </w:r>
    </w:p>
    <w:p w14:paraId="663A63C5" w14:textId="38C16BC5" w:rsidR="00A705B8" w:rsidRPr="003D3815" w:rsidRDefault="00B928EE" w:rsidP="00A705B8">
      <w:pPr>
        <w:pStyle w:val="Heading1"/>
      </w:pPr>
      <w:bookmarkStart w:id="6" w:name="_Toc32859221"/>
      <w:r w:rsidRPr="003D3815">
        <w:lastRenderedPageBreak/>
        <w:t xml:space="preserve">PROPOSED </w:t>
      </w:r>
      <w:r w:rsidR="00A705B8" w:rsidRPr="003D3815">
        <w:t>Follow-</w:t>
      </w:r>
      <w:r w:rsidRPr="003D3815">
        <w:t>ON</w:t>
      </w:r>
      <w:r w:rsidR="00A705B8" w:rsidRPr="003D3815">
        <w:t xml:space="preserve"> WOrk</w:t>
      </w:r>
      <w:bookmarkEnd w:id="6"/>
    </w:p>
    <w:p w14:paraId="003CC0AB" w14:textId="77777777" w:rsidR="00B928EE" w:rsidRPr="003D3815" w:rsidRDefault="008D4BE2" w:rsidP="00A705B8">
      <w:r w:rsidRPr="003D3815">
        <w:t xml:space="preserve">As stated in its Charter, the HIAWG's </w:t>
      </w:r>
      <w:r w:rsidRPr="003D3815">
        <w:rPr>
          <w:i/>
          <w:iCs/>
        </w:rPr>
        <w:t>“primary focus is to adapt the [NSTIC-Principles-based] IDEF framework to the specific requirements and use-cases of the healthcare sector, and to encourage adoption of this profile of the IDEF throughout the healthcare community.”</w:t>
      </w:r>
      <w:r w:rsidRPr="003D3815">
        <w:t xml:space="preserve"> To be useful, this profile—characterized in this Report as a </w:t>
      </w:r>
      <w:r w:rsidRPr="003D3815">
        <w:rPr>
          <w:i/>
          <w:iCs/>
        </w:rPr>
        <w:t>Healthcare Identity Environment Architecture</w:t>
      </w:r>
      <w:r w:rsidRPr="003D3815">
        <w:t xml:space="preserve">—should be sufficiently specified that it is implementable, ideally with </w:t>
      </w:r>
      <w:r w:rsidR="00B928EE" w:rsidRPr="003D3815">
        <w:t xml:space="preserve">a choice of </w:t>
      </w:r>
      <w:r w:rsidRPr="003D3815">
        <w:t>commercial or open</w:t>
      </w:r>
      <w:r w:rsidR="00523C02" w:rsidRPr="003D3815">
        <w:t>-</w:t>
      </w:r>
      <w:r w:rsidRPr="003D3815">
        <w:t xml:space="preserve">source technology solutions. </w:t>
      </w:r>
      <w:r w:rsidR="00523C02" w:rsidRPr="003D3815">
        <w:t xml:space="preserve">It should also of course </w:t>
      </w:r>
      <w:r w:rsidR="00B928EE" w:rsidRPr="003D3815">
        <w:t xml:space="preserve">satisfy </w:t>
      </w:r>
      <w:r w:rsidR="00523C02" w:rsidRPr="003D3815">
        <w:t xml:space="preserve">the operational requirements of healthcare delivery while </w:t>
      </w:r>
      <w:proofErr w:type="gramStart"/>
      <w:r w:rsidR="00523C02" w:rsidRPr="003D3815">
        <w:t>taking into account</w:t>
      </w:r>
      <w:proofErr w:type="gramEnd"/>
      <w:r w:rsidR="00523C02" w:rsidRPr="003D3815">
        <w:t xml:space="preserve"> the perspectives of healthcare providers, consumers and regulators.</w:t>
      </w:r>
      <w:r w:rsidR="00B928EE" w:rsidRPr="003D3815">
        <w:t xml:space="preserve"> The Working Group has identified three follow-on initiatives to progress toward an implementable architecture.</w:t>
      </w:r>
    </w:p>
    <w:p w14:paraId="12AB0B87" w14:textId="2E177201" w:rsidR="00B928EE" w:rsidRPr="003D3815" w:rsidRDefault="00B928EE" w:rsidP="00B928EE">
      <w:pPr>
        <w:pStyle w:val="Heading2"/>
        <w:numPr>
          <w:ilvl w:val="0"/>
          <w:numId w:val="0"/>
        </w:numPr>
      </w:pPr>
      <w:bookmarkStart w:id="7" w:name="_Toc32859222"/>
      <w:r w:rsidRPr="003D3815">
        <w:t>5.1 ElaboratE the HIAWG Design Goals</w:t>
      </w:r>
      <w:bookmarkEnd w:id="7"/>
    </w:p>
    <w:p w14:paraId="12D7CDA9" w14:textId="7B7D82F2" w:rsidR="00B928EE" w:rsidRPr="003D3815" w:rsidRDefault="00784E50" w:rsidP="00A705B8">
      <w:r w:rsidRPr="003D3815">
        <w:t xml:space="preserve">The WG is considering how to take the very high-level Design Goals to the next level of specificity, and is examining the possibility of </w:t>
      </w:r>
      <w:r w:rsidR="00D644BB" w:rsidRPr="003D3815">
        <w:t xml:space="preserve">leveraging for this purpose an existing document, </w:t>
      </w:r>
      <w:r w:rsidR="00D644BB" w:rsidRPr="003D3815">
        <w:rPr>
          <w:i/>
          <w:iCs/>
        </w:rPr>
        <w:t>Important Considerations When Planning a National Healthcare Identifier,</w:t>
      </w:r>
      <w:r w:rsidR="00D644BB" w:rsidRPr="003D3815">
        <w:t xml:space="preserve"> which has been contributed by HIAWG participant Barry Hieb, M.D., of Global Patient Identifiers, Inc.</w:t>
      </w:r>
    </w:p>
    <w:p w14:paraId="1A4DC605" w14:textId="418FAAA1" w:rsidR="00B928EE" w:rsidRPr="003D3815" w:rsidRDefault="00B928EE" w:rsidP="00F36A60">
      <w:pPr>
        <w:pStyle w:val="Heading2"/>
        <w:numPr>
          <w:ilvl w:val="0"/>
          <w:numId w:val="0"/>
        </w:numPr>
      </w:pPr>
      <w:bookmarkStart w:id="8" w:name="_Toc32859223"/>
      <w:r w:rsidRPr="003D3815">
        <w:t xml:space="preserve">5.2 </w:t>
      </w:r>
      <w:r w:rsidR="00F36A60" w:rsidRPr="003D3815">
        <w:t>A</w:t>
      </w:r>
      <w:r w:rsidR="00C216BE" w:rsidRPr="003D3815">
        <w:t>dvance</w:t>
      </w:r>
      <w:r w:rsidR="00F36A60" w:rsidRPr="003D3815">
        <w:t xml:space="preserve"> the FIRE WG’s </w:t>
      </w:r>
      <w:r w:rsidR="00F36A60" w:rsidRPr="003D3815">
        <w:rPr>
          <w:i/>
          <w:iCs/>
        </w:rPr>
        <w:t>Distributed Identity Assurance Specification</w:t>
      </w:r>
      <w:bookmarkEnd w:id="8"/>
    </w:p>
    <w:p w14:paraId="1624AD28" w14:textId="408F7681" w:rsidR="00B928EE" w:rsidRPr="003D3815" w:rsidRDefault="001B1A53" w:rsidP="00A705B8">
      <w:r w:rsidRPr="003D3815">
        <w:t xml:space="preserve">The WG is collaborating with the FIRE WG on their specification, currently a WG-approved draft, for authentication credentials with specific reference to a use-case based on patient access to multiple healthcare providers participating in a trusted on-line environment. This specification addresses a capability gap in the provision and use of portable, reusable patient authentication credentials. </w:t>
      </w:r>
    </w:p>
    <w:p w14:paraId="287E0E74" w14:textId="70A43F43" w:rsidR="00523C02" w:rsidRPr="003D3815" w:rsidRDefault="00F36A60" w:rsidP="00F36A60">
      <w:pPr>
        <w:pStyle w:val="Heading2"/>
        <w:numPr>
          <w:ilvl w:val="0"/>
          <w:numId w:val="0"/>
        </w:numPr>
      </w:pPr>
      <w:bookmarkStart w:id="9" w:name="_Toc32859224"/>
      <w:r w:rsidRPr="003D3815">
        <w:t>5.3 Advocate for incorporation of HIAWG Design Goals in healthcare stakeholders’ policies</w:t>
      </w:r>
      <w:bookmarkEnd w:id="9"/>
    </w:p>
    <w:p w14:paraId="681BF362" w14:textId="167A9ECB" w:rsidR="00F36A60" w:rsidRPr="003D3815" w:rsidRDefault="005306C9" w:rsidP="00F36A60">
      <w:r w:rsidRPr="003D3815">
        <w:t xml:space="preserve">The WG will continue to be active in promoting awareness of the Design Principles and for their incorporation in US Federal policy and program planning. This advocacy is conducted through participation on conferences and in meetings with US healthcare sector </w:t>
      </w:r>
      <w:r w:rsidR="005D0275" w:rsidRPr="003D3815">
        <w:t>policymakers</w:t>
      </w:r>
      <w:r w:rsidRPr="003D3815">
        <w:t xml:space="preserve"> and influencers.   </w:t>
      </w:r>
    </w:p>
    <w:p w14:paraId="2A4E80FE" w14:textId="79300975" w:rsidR="00F36A60" w:rsidRPr="003D3815" w:rsidRDefault="00CE1387" w:rsidP="00CE1387">
      <w:pPr>
        <w:pStyle w:val="Heading1"/>
      </w:pPr>
      <w:bookmarkStart w:id="10" w:name="_Toc32859225"/>
      <w:r w:rsidRPr="003D3815">
        <w:lastRenderedPageBreak/>
        <w:t>Appendix A: Acknowledgements</w:t>
      </w:r>
      <w:bookmarkEnd w:id="10"/>
    </w:p>
    <w:p w14:paraId="56B6C966" w14:textId="1BED04F8" w:rsidR="00A705B8" w:rsidRPr="003D3815" w:rsidRDefault="00CE1387" w:rsidP="00A705B8">
      <w:r w:rsidRPr="003D3815">
        <w:t xml:space="preserve">The authors gratefully acknowledge the contributions of the participants of </w:t>
      </w:r>
      <w:r w:rsidR="00A552A3" w:rsidRPr="003D3815">
        <w:t xml:space="preserve">the </w:t>
      </w:r>
      <w:r w:rsidRPr="003D3815">
        <w:t xml:space="preserve">Healthcare Identity Assurance Working Group, the list of whom can be found in the </w:t>
      </w:r>
      <w:hyperlink r:id="rId20" w:history="1">
        <w:r w:rsidRPr="003D3815">
          <w:rPr>
            <w:rStyle w:val="Hyperlink"/>
          </w:rPr>
          <w:t>WG Participant Roster</w:t>
        </w:r>
      </w:hyperlink>
      <w:r w:rsidRPr="003D3815">
        <w:t xml:space="preserve">. We especially thank these active contributors: </w:t>
      </w:r>
    </w:p>
    <w:p w14:paraId="063AAF05" w14:textId="77777777" w:rsidR="00CE1387" w:rsidRPr="003D3815" w:rsidRDefault="00CE1387" w:rsidP="00CE1387">
      <w:pPr>
        <w:pStyle w:val="ListParagraph"/>
        <w:numPr>
          <w:ilvl w:val="0"/>
          <w:numId w:val="11"/>
        </w:numPr>
      </w:pPr>
      <w:r w:rsidRPr="003D3815">
        <w:t>Brian Ahier</w:t>
      </w:r>
    </w:p>
    <w:p w14:paraId="72845F20" w14:textId="77777777" w:rsidR="00CE1387" w:rsidRPr="003D3815" w:rsidRDefault="00CE1387" w:rsidP="00CE1387">
      <w:pPr>
        <w:pStyle w:val="ListParagraph"/>
        <w:numPr>
          <w:ilvl w:val="0"/>
          <w:numId w:val="11"/>
        </w:numPr>
      </w:pPr>
      <w:r w:rsidRPr="003D3815">
        <w:t>Ken Dagg</w:t>
      </w:r>
    </w:p>
    <w:p w14:paraId="195442E4" w14:textId="77777777" w:rsidR="00CE1387" w:rsidRPr="003D3815" w:rsidRDefault="00CE1387" w:rsidP="00CE1387">
      <w:pPr>
        <w:pStyle w:val="ListParagraph"/>
        <w:numPr>
          <w:ilvl w:val="0"/>
          <w:numId w:val="11"/>
        </w:numPr>
      </w:pPr>
      <w:r w:rsidRPr="003D3815">
        <w:t>Barry Hieb</w:t>
      </w:r>
    </w:p>
    <w:p w14:paraId="354DC247" w14:textId="77777777" w:rsidR="00CE1387" w:rsidRPr="003D3815" w:rsidRDefault="00CE1387" w:rsidP="00CE1387">
      <w:pPr>
        <w:pStyle w:val="ListParagraph"/>
        <w:numPr>
          <w:ilvl w:val="0"/>
          <w:numId w:val="11"/>
        </w:numPr>
      </w:pPr>
      <w:r w:rsidRPr="003D3815">
        <w:t>Jim Kragh</w:t>
      </w:r>
    </w:p>
    <w:p w14:paraId="6ACCBF00" w14:textId="77777777" w:rsidR="00CE1387" w:rsidRPr="003D3815" w:rsidRDefault="00CE1387" w:rsidP="00CE1387">
      <w:pPr>
        <w:pStyle w:val="ListParagraph"/>
        <w:numPr>
          <w:ilvl w:val="0"/>
          <w:numId w:val="11"/>
        </w:numPr>
      </w:pPr>
      <w:r w:rsidRPr="003D3815">
        <w:t>Tom Jones</w:t>
      </w:r>
    </w:p>
    <w:p w14:paraId="5D34DFEC" w14:textId="77777777" w:rsidR="00CE1387" w:rsidRPr="003D3815" w:rsidRDefault="00CE1387" w:rsidP="00CE1387">
      <w:pPr>
        <w:pStyle w:val="ListParagraph"/>
        <w:numPr>
          <w:ilvl w:val="0"/>
          <w:numId w:val="11"/>
        </w:numPr>
      </w:pPr>
      <w:r w:rsidRPr="003D3815">
        <w:t>Catherine Schulten</w:t>
      </w:r>
    </w:p>
    <w:p w14:paraId="25FF6CB3" w14:textId="12337FAA" w:rsidR="00CE1387" w:rsidRPr="003D3815" w:rsidRDefault="00CE1387" w:rsidP="00CE1387">
      <w:pPr>
        <w:pStyle w:val="ListParagraph"/>
        <w:numPr>
          <w:ilvl w:val="0"/>
          <w:numId w:val="11"/>
        </w:numPr>
      </w:pPr>
      <w:r w:rsidRPr="003D3815">
        <w:t>Colin Wallis</w:t>
      </w:r>
    </w:p>
    <w:p w14:paraId="609E657F" w14:textId="787C6269" w:rsidR="00A705B8" w:rsidRDefault="00A705B8" w:rsidP="00A705B8"/>
    <w:p w14:paraId="56D84D34" w14:textId="4316B5DB" w:rsidR="00F85F86" w:rsidRPr="00F85F86" w:rsidRDefault="00F85F86" w:rsidP="00F85F86"/>
    <w:p w14:paraId="594B76F6" w14:textId="3F1FA47E" w:rsidR="00F85F86" w:rsidRPr="00F85F86" w:rsidRDefault="00F85F86" w:rsidP="00F85F86"/>
    <w:p w14:paraId="3BF6498B" w14:textId="7270362E" w:rsidR="00F85F86" w:rsidRPr="00F85F86" w:rsidRDefault="00F85F86" w:rsidP="00F85F86"/>
    <w:p w14:paraId="55DB7700" w14:textId="5F71113E" w:rsidR="00F85F86" w:rsidRPr="00F85F86" w:rsidRDefault="00F85F86" w:rsidP="00F85F86"/>
    <w:p w14:paraId="0FAF53FD" w14:textId="5435C9EE" w:rsidR="00F85F86" w:rsidRPr="00F85F86" w:rsidRDefault="00F85F86" w:rsidP="00F85F86"/>
    <w:p w14:paraId="2E909211" w14:textId="7B407183" w:rsidR="00F85F86" w:rsidRPr="00F85F86" w:rsidRDefault="00F85F86" w:rsidP="00F85F86"/>
    <w:p w14:paraId="724F9889" w14:textId="729BB9FA" w:rsidR="00F85F86" w:rsidRPr="00F85F86" w:rsidRDefault="00F85F86" w:rsidP="00F85F86"/>
    <w:p w14:paraId="5B3A8F8C" w14:textId="70A1E511" w:rsidR="00F85F86" w:rsidRPr="00F85F86" w:rsidRDefault="00F85F86" w:rsidP="00F85F86"/>
    <w:p w14:paraId="0DDDBD02" w14:textId="0EA8A4B6" w:rsidR="00F85F86" w:rsidRPr="00F85F86" w:rsidRDefault="00F85F86" w:rsidP="00F85F86"/>
    <w:p w14:paraId="76C38952" w14:textId="4677F943" w:rsidR="00F85F86" w:rsidRPr="00F85F86" w:rsidRDefault="00F85F86" w:rsidP="00F85F86"/>
    <w:p w14:paraId="03A25D87" w14:textId="06EAC3E3" w:rsidR="00F85F86" w:rsidRPr="00F85F86" w:rsidRDefault="00F85F86" w:rsidP="00F85F86"/>
    <w:p w14:paraId="776985A5" w14:textId="26391543" w:rsidR="00F85F86" w:rsidRPr="00F85F86" w:rsidRDefault="00F85F86" w:rsidP="00F85F86"/>
    <w:p w14:paraId="76F16ACD" w14:textId="269B34E8" w:rsidR="00F85F86" w:rsidRPr="00F85F86" w:rsidRDefault="00F85F86" w:rsidP="00F85F86"/>
    <w:p w14:paraId="2B497AA1" w14:textId="3CF23DDE" w:rsidR="00F85F86" w:rsidRPr="00F85F86" w:rsidRDefault="00F85F86" w:rsidP="00F85F86"/>
    <w:p w14:paraId="343C3D26" w14:textId="0602A9EF" w:rsidR="00F85F86" w:rsidRPr="00F85F86" w:rsidRDefault="00F85F86" w:rsidP="00F85F86"/>
    <w:p w14:paraId="2F3DE21C" w14:textId="74180D0F" w:rsidR="00F85F86" w:rsidRPr="00F85F86" w:rsidRDefault="00F85F86" w:rsidP="00F85F86"/>
    <w:p w14:paraId="59B9DDD3" w14:textId="77777777" w:rsidR="00F85F86" w:rsidRPr="00F85F86" w:rsidRDefault="00F85F86" w:rsidP="00F85F86">
      <w:pPr>
        <w:jc w:val="right"/>
      </w:pPr>
    </w:p>
    <w:sectPr w:rsidR="00F85F86" w:rsidRPr="00F85F86" w:rsidSect="004016C7">
      <w:pgSz w:w="12240" w:h="15840"/>
      <w:pgMar w:top="720" w:right="1440" w:bottom="1440" w:left="180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4B3F" w14:textId="77777777" w:rsidR="00856B66" w:rsidRDefault="00856B66" w:rsidP="00D1294C">
      <w:pPr>
        <w:spacing w:before="0" w:after="0" w:line="240" w:lineRule="auto"/>
      </w:pPr>
      <w:r>
        <w:separator/>
      </w:r>
    </w:p>
  </w:endnote>
  <w:endnote w:type="continuationSeparator" w:id="0">
    <w:p w14:paraId="046032F1" w14:textId="77777777" w:rsidR="00856B66" w:rsidRDefault="00856B66" w:rsidP="00D12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FE01" w14:textId="77777777" w:rsidR="006621C6" w:rsidRDefault="006621C6" w:rsidP="006E1978">
    <w:pPr>
      <w:pStyle w:val="Footer"/>
      <w:framePr w:wrap="none" w:vAnchor="text" w:hAnchor="margin" w:xAlign="right" w:y="1"/>
      <w:rPr>
        <w:rStyle w:val="PageNumber"/>
      </w:rPr>
    </w:pPr>
  </w:p>
  <w:p w14:paraId="02B648E7" w14:textId="77777777" w:rsidR="006621C6" w:rsidRDefault="006621C6" w:rsidP="00712710">
    <w:pPr>
      <w:pStyle w:val="Footer"/>
      <w:framePr w:wrap="none" w:vAnchor="text" w:hAnchor="margin" w:xAlign="center" w:y="1"/>
      <w:ind w:right="360"/>
      <w:rPr>
        <w:rStyle w:val="PageNumber"/>
      </w:rPr>
    </w:pPr>
  </w:p>
  <w:p w14:paraId="261785E9" w14:textId="77777777" w:rsidR="006621C6" w:rsidRDefault="00662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98EC" w14:textId="318FCA11" w:rsidR="006621C6" w:rsidRPr="00E558D1" w:rsidRDefault="006621C6" w:rsidP="005F14AA">
    <w:pPr>
      <w:pStyle w:val="Footer"/>
    </w:pPr>
    <w:r>
      <w:t xml:space="preserve">Document Version: </w:t>
    </w:r>
    <w:r>
      <w:rPr>
        <w:noProof/>
      </w:rPr>
      <w:t>draft</w:t>
    </w:r>
    <w:r>
      <w:tab/>
    </w:r>
    <w:r>
      <w:tab/>
      <w:t>Document Date: 2020</w:t>
    </w:r>
    <w:r>
      <w:rPr>
        <w:noProof/>
        <w:highlight w:val="yellow"/>
      </w:rPr>
      <w:t>-02-dd</w:t>
    </w:r>
  </w:p>
  <w:p w14:paraId="5FF34CCE" w14:textId="497317C6" w:rsidR="006621C6" w:rsidRDefault="006621C6" w:rsidP="00D1294C">
    <w:pPr>
      <w:pStyle w:val="Footer"/>
      <w:rPr>
        <w:lang w:val="en-CA"/>
      </w:rPr>
    </w:pPr>
    <w:r>
      <w:rPr>
        <w:lang w:val="en-CA"/>
      </w:rPr>
      <w:tab/>
      <w:t xml:space="preserve">Kantara Initiative </w:t>
    </w:r>
    <w:proofErr w:type="gramStart"/>
    <w:r>
      <w:rPr>
        <w:lang w:val="en-CA"/>
      </w:rPr>
      <w:t>Report  ©</w:t>
    </w:r>
    <w:proofErr w:type="gramEnd"/>
    <w:r>
      <w:rPr>
        <w:lang w:val="en-CA"/>
      </w:rPr>
      <w:t xml:space="preserve"> 2020 Kantara Initiative, Inc.</w:t>
    </w:r>
  </w:p>
  <w:p w14:paraId="13D66816" w14:textId="77777777" w:rsidR="006621C6" w:rsidRDefault="006621C6" w:rsidP="00863AC2">
    <w:pPr>
      <w:pStyle w:val="Footer"/>
      <w:rPr>
        <w:rStyle w:val="Hyperlink"/>
        <w:lang w:val="en-CA"/>
      </w:rPr>
    </w:pPr>
    <w:r>
      <w:tab/>
    </w:r>
    <w:hyperlink r:id="rId1" w:history="1">
      <w:r w:rsidRPr="00D1294C">
        <w:rPr>
          <w:rStyle w:val="Hyperlink"/>
          <w:lang w:val="en-CA"/>
        </w:rPr>
        <w:t>www.kantarainitiative.org</w:t>
      </w:r>
    </w:hyperlink>
  </w:p>
  <w:p w14:paraId="2363C107" w14:textId="2B75DBAA" w:rsidR="006621C6" w:rsidRPr="00863AC2" w:rsidRDefault="006621C6" w:rsidP="005306C9">
    <w:pPr>
      <w:pStyle w:val="Footer"/>
      <w:jc w:val="center"/>
      <w:rPr>
        <w:lang w:val="en-CA"/>
      </w:rPr>
    </w:pPr>
    <w:r>
      <w:t xml:space="preserve">IPR OPTION - </w:t>
    </w:r>
    <w:r w:rsidRPr="0069023D">
      <w:noBreakHyphen/>
    </w:r>
    <w:r w:rsidRPr="0069023D">
      <w:noBreakHyphen/>
    </w:r>
    <w:r w:rsidRPr="005A3E9E">
      <w:rPr>
        <w:noProof/>
      </w:rPr>
      <w:t>Creative Commons Attribution Share Alike</w:t>
    </w:r>
    <w:r>
      <w:rPr>
        <w:rFonts w:cs="Arial"/>
      </w:rPr>
      <w:noBreakHyphen/>
    </w:r>
    <w:r>
      <w:tab/>
    </w:r>
    <w:r>
      <w:tab/>
      <w:t xml:space="preserve">Page </w:t>
    </w:r>
    <w:r w:rsidR="000364E9">
      <w:rPr>
        <w:rStyle w:val="PageNumber"/>
        <w:noProof/>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15EE" w14:textId="57C8A1CC" w:rsidR="006621C6" w:rsidRDefault="006621C6" w:rsidP="007E65AF">
    <w:pPr>
      <w:pStyle w:val="Footer"/>
      <w:rPr>
        <w:lang w:val="en-CA"/>
      </w:rPr>
    </w:pPr>
    <w:r>
      <w:rPr>
        <w:lang w:val="en-CA"/>
      </w:rPr>
      <w:tab/>
      <w:t>Kantara Initiative Report © 2020 Kantara Initiative, Inc.</w:t>
    </w:r>
  </w:p>
  <w:p w14:paraId="206D4526" w14:textId="77777777" w:rsidR="006621C6" w:rsidRDefault="006621C6" w:rsidP="007E65AF">
    <w:pPr>
      <w:pStyle w:val="Footer"/>
      <w:rPr>
        <w:lang w:val="en-CA"/>
      </w:rPr>
    </w:pPr>
    <w:r>
      <w:rPr>
        <w:lang w:val="en-CA"/>
      </w:rPr>
      <w:tab/>
    </w:r>
    <w:hyperlink r:id="rId1" w:history="1">
      <w:r w:rsidRPr="00D1294C">
        <w:rPr>
          <w:rStyle w:val="Hyperlink"/>
          <w:lang w:val="en-CA"/>
        </w:rPr>
        <w:t>www.kantarainitiative.org</w:t>
      </w:r>
    </w:hyperlink>
  </w:p>
  <w:p w14:paraId="1B0275AF" w14:textId="49093B55" w:rsidR="006621C6" w:rsidRDefault="006621C6" w:rsidP="007E65AF">
    <w:pPr>
      <w:pStyle w:val="Footer-IPR"/>
    </w:pPr>
    <w:r>
      <w:tab/>
      <w:t xml:space="preserve">IPR OPTION- </w:t>
    </w:r>
    <w:r w:rsidRPr="0069023D">
      <w:rPr>
        <w:lang w:val="en-US"/>
      </w:rPr>
      <w:noBreakHyphen/>
    </w:r>
    <w:r w:rsidRPr="0069023D">
      <w:rPr>
        <w:lang w:val="en-US"/>
      </w:rPr>
      <w:noBreakHyphen/>
    </w:r>
    <w:r w:rsidRPr="00891894">
      <w:rPr>
        <w:noProof/>
        <w:lang w:val="en-US"/>
      </w:rPr>
      <w:t>Creative Commons Attribution Share Alike</w:t>
    </w:r>
    <w:r w:rsidRPr="005F7FBD">
      <w:rPr>
        <w:rFonts w:cs="Arial"/>
        <w:lang w:val="en-US"/>
      </w:rPr>
      <w:noBreakHyphen/>
    </w:r>
    <w:r>
      <w:t xml:space="preserve"> </w:t>
    </w:r>
    <w:r>
      <w:tab/>
      <w:t xml:space="preserve">Page </w:t>
    </w:r>
    <w:r>
      <w:rPr>
        <w:rStyle w:val="PageNumbe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DA97D" w14:textId="77777777" w:rsidR="00856B66" w:rsidRDefault="00856B66" w:rsidP="00D1294C">
      <w:pPr>
        <w:spacing w:before="0" w:after="0" w:line="240" w:lineRule="auto"/>
      </w:pPr>
      <w:r>
        <w:separator/>
      </w:r>
    </w:p>
  </w:footnote>
  <w:footnote w:type="continuationSeparator" w:id="0">
    <w:p w14:paraId="693B1093" w14:textId="77777777" w:rsidR="00856B66" w:rsidRDefault="00856B66" w:rsidP="00D129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86C0" w14:textId="77777777" w:rsidR="005D0275" w:rsidRDefault="005D0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54E4" w14:textId="27552180" w:rsidR="006621C6" w:rsidRDefault="006621C6">
    <w:pPr>
      <w:pStyle w:val="Header"/>
    </w:pPr>
    <w:bookmarkStart w:id="3" w:name="_Hlk32529420"/>
    <w:bookmarkStart w:id="4" w:name="_Hlk32529421"/>
    <w:r>
      <w:t>Design Goals for a Healthcare Identity Environment Architecture</w:t>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2F7E" w14:textId="213F9180" w:rsidR="006621C6" w:rsidRPr="007D570C" w:rsidRDefault="006621C6" w:rsidP="007D570C">
    <w:pPr>
      <w:pStyle w:val="Header"/>
    </w:pPr>
    <w:r>
      <w:rPr>
        <w:noProof/>
      </w:rPr>
      <w:drawing>
        <wp:inline distT="0" distB="0" distL="0" distR="0" wp14:anchorId="761353A8" wp14:editId="5A0231DB">
          <wp:extent cx="2566670" cy="914400"/>
          <wp:effectExtent l="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91440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3CEC" w14:textId="77777777" w:rsidR="006621C6" w:rsidRPr="007D570C" w:rsidRDefault="006621C6" w:rsidP="007D570C">
    <w:pPr>
      <w:pStyle w:val="Header"/>
    </w:pPr>
    <w:r>
      <w:rPr>
        <w:noProof/>
      </w:rPr>
      <w:drawing>
        <wp:inline distT="0" distB="0" distL="0" distR="0" wp14:anchorId="78311D92" wp14:editId="0F48635A">
          <wp:extent cx="2566670" cy="91440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4F6"/>
    <w:multiLevelType w:val="multilevel"/>
    <w:tmpl w:val="5E9040B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C774DC"/>
    <w:multiLevelType w:val="multilevel"/>
    <w:tmpl w:val="27C049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5A4CA4"/>
    <w:multiLevelType w:val="hybridMultilevel"/>
    <w:tmpl w:val="CD04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24BC9"/>
    <w:multiLevelType w:val="multilevel"/>
    <w:tmpl w:val="BDD4218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5B70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438EB"/>
    <w:multiLevelType w:val="multilevel"/>
    <w:tmpl w:val="9F68F3DA"/>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9A4A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8F5833"/>
    <w:multiLevelType w:val="hybridMultilevel"/>
    <w:tmpl w:val="67BE4872"/>
    <w:lvl w:ilvl="0" w:tplc="656099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8"/>
  </w:num>
  <w:num w:numId="5">
    <w:abstractNumId w:val="7"/>
  </w:num>
  <w:num w:numId="6">
    <w:abstractNumId w:val="1"/>
  </w:num>
  <w:num w:numId="7">
    <w:abstractNumId w:val="3"/>
  </w:num>
  <w:num w:numId="8">
    <w:abstractNumId w:val="0"/>
  </w:num>
  <w:num w:numId="9">
    <w:abstractNumId w:val="4"/>
  </w:num>
  <w:num w:numId="10">
    <w:abstractNumId w:val="10"/>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CC"/>
    <w:rsid w:val="00004793"/>
    <w:rsid w:val="00034115"/>
    <w:rsid w:val="000364E9"/>
    <w:rsid w:val="000476BD"/>
    <w:rsid w:val="00052B33"/>
    <w:rsid w:val="0005759A"/>
    <w:rsid w:val="00064050"/>
    <w:rsid w:val="00065B63"/>
    <w:rsid w:val="00071EA1"/>
    <w:rsid w:val="00073FDD"/>
    <w:rsid w:val="000A3BFD"/>
    <w:rsid w:val="000B70AC"/>
    <w:rsid w:val="000C1FB8"/>
    <w:rsid w:val="000F6074"/>
    <w:rsid w:val="0011344B"/>
    <w:rsid w:val="001165AC"/>
    <w:rsid w:val="001200C5"/>
    <w:rsid w:val="001254BA"/>
    <w:rsid w:val="00182973"/>
    <w:rsid w:val="00183760"/>
    <w:rsid w:val="00191754"/>
    <w:rsid w:val="001B1A53"/>
    <w:rsid w:val="001C7F35"/>
    <w:rsid w:val="001F19E7"/>
    <w:rsid w:val="001F2087"/>
    <w:rsid w:val="00204D03"/>
    <w:rsid w:val="002254DB"/>
    <w:rsid w:val="00230353"/>
    <w:rsid w:val="00231077"/>
    <w:rsid w:val="00255DC9"/>
    <w:rsid w:val="00271535"/>
    <w:rsid w:val="002800A0"/>
    <w:rsid w:val="0028259D"/>
    <w:rsid w:val="002B42FE"/>
    <w:rsid w:val="002D3ED1"/>
    <w:rsid w:val="00304B8E"/>
    <w:rsid w:val="00306D8E"/>
    <w:rsid w:val="003165C4"/>
    <w:rsid w:val="00332B5D"/>
    <w:rsid w:val="00333C24"/>
    <w:rsid w:val="00340667"/>
    <w:rsid w:val="0034220F"/>
    <w:rsid w:val="0035258F"/>
    <w:rsid w:val="00355B0D"/>
    <w:rsid w:val="00370567"/>
    <w:rsid w:val="003727E0"/>
    <w:rsid w:val="003827E8"/>
    <w:rsid w:val="003840FC"/>
    <w:rsid w:val="003B009B"/>
    <w:rsid w:val="003B1FD8"/>
    <w:rsid w:val="003B5554"/>
    <w:rsid w:val="003C3B5E"/>
    <w:rsid w:val="003C4E03"/>
    <w:rsid w:val="003C7C25"/>
    <w:rsid w:val="003D3815"/>
    <w:rsid w:val="003D3FC0"/>
    <w:rsid w:val="003D73CA"/>
    <w:rsid w:val="003E22E1"/>
    <w:rsid w:val="003E23E6"/>
    <w:rsid w:val="003F4EC4"/>
    <w:rsid w:val="004016C7"/>
    <w:rsid w:val="0040452B"/>
    <w:rsid w:val="00411EE5"/>
    <w:rsid w:val="0042604E"/>
    <w:rsid w:val="00441EDA"/>
    <w:rsid w:val="0044747A"/>
    <w:rsid w:val="0045346C"/>
    <w:rsid w:val="004660B0"/>
    <w:rsid w:val="0046657C"/>
    <w:rsid w:val="00473579"/>
    <w:rsid w:val="00473A40"/>
    <w:rsid w:val="004B1B3B"/>
    <w:rsid w:val="004B1FF4"/>
    <w:rsid w:val="004C466D"/>
    <w:rsid w:val="004C6EC6"/>
    <w:rsid w:val="004D288E"/>
    <w:rsid w:val="004D3728"/>
    <w:rsid w:val="004D5417"/>
    <w:rsid w:val="004E7095"/>
    <w:rsid w:val="005021E6"/>
    <w:rsid w:val="00506CF6"/>
    <w:rsid w:val="00516568"/>
    <w:rsid w:val="00520332"/>
    <w:rsid w:val="005227C9"/>
    <w:rsid w:val="00523C02"/>
    <w:rsid w:val="0052565A"/>
    <w:rsid w:val="005306C9"/>
    <w:rsid w:val="0053431F"/>
    <w:rsid w:val="00535811"/>
    <w:rsid w:val="00543690"/>
    <w:rsid w:val="005474FF"/>
    <w:rsid w:val="0054781C"/>
    <w:rsid w:val="00560328"/>
    <w:rsid w:val="00561918"/>
    <w:rsid w:val="00565DBC"/>
    <w:rsid w:val="00582C80"/>
    <w:rsid w:val="0059208B"/>
    <w:rsid w:val="00594621"/>
    <w:rsid w:val="005A2BF3"/>
    <w:rsid w:val="005A3E9E"/>
    <w:rsid w:val="005A41F7"/>
    <w:rsid w:val="005A65DC"/>
    <w:rsid w:val="005B16F3"/>
    <w:rsid w:val="005B22C9"/>
    <w:rsid w:val="005B31BB"/>
    <w:rsid w:val="005B6E86"/>
    <w:rsid w:val="005D0275"/>
    <w:rsid w:val="005D1276"/>
    <w:rsid w:val="005F1327"/>
    <w:rsid w:val="005F14AA"/>
    <w:rsid w:val="005F64B6"/>
    <w:rsid w:val="005F7728"/>
    <w:rsid w:val="005F7FBD"/>
    <w:rsid w:val="00600520"/>
    <w:rsid w:val="006040F3"/>
    <w:rsid w:val="006079D8"/>
    <w:rsid w:val="006257B6"/>
    <w:rsid w:val="0063759E"/>
    <w:rsid w:val="00655E8C"/>
    <w:rsid w:val="006621C6"/>
    <w:rsid w:val="00663F21"/>
    <w:rsid w:val="0069023D"/>
    <w:rsid w:val="006B3D87"/>
    <w:rsid w:val="006B48D7"/>
    <w:rsid w:val="006C6DE4"/>
    <w:rsid w:val="006D253A"/>
    <w:rsid w:val="006E1978"/>
    <w:rsid w:val="006F7975"/>
    <w:rsid w:val="00701552"/>
    <w:rsid w:val="007072F2"/>
    <w:rsid w:val="00712710"/>
    <w:rsid w:val="00726239"/>
    <w:rsid w:val="00774442"/>
    <w:rsid w:val="00784E50"/>
    <w:rsid w:val="0079627E"/>
    <w:rsid w:val="007B6252"/>
    <w:rsid w:val="007C164E"/>
    <w:rsid w:val="007D570C"/>
    <w:rsid w:val="007D5FFE"/>
    <w:rsid w:val="007D7ABD"/>
    <w:rsid w:val="007E221F"/>
    <w:rsid w:val="007E65AF"/>
    <w:rsid w:val="007F10B6"/>
    <w:rsid w:val="007F20AE"/>
    <w:rsid w:val="007F3022"/>
    <w:rsid w:val="007F66CF"/>
    <w:rsid w:val="008010B3"/>
    <w:rsid w:val="00804083"/>
    <w:rsid w:val="008057C2"/>
    <w:rsid w:val="00805F97"/>
    <w:rsid w:val="00807C03"/>
    <w:rsid w:val="00813EB2"/>
    <w:rsid w:val="00816351"/>
    <w:rsid w:val="008166B5"/>
    <w:rsid w:val="00816A42"/>
    <w:rsid w:val="008173F7"/>
    <w:rsid w:val="008203F1"/>
    <w:rsid w:val="008253A6"/>
    <w:rsid w:val="00825562"/>
    <w:rsid w:val="0082780A"/>
    <w:rsid w:val="00836356"/>
    <w:rsid w:val="008366C4"/>
    <w:rsid w:val="00841EEC"/>
    <w:rsid w:val="008450FD"/>
    <w:rsid w:val="00850A03"/>
    <w:rsid w:val="00856B66"/>
    <w:rsid w:val="00862763"/>
    <w:rsid w:val="00863AC2"/>
    <w:rsid w:val="00865972"/>
    <w:rsid w:val="00874E3B"/>
    <w:rsid w:val="00891098"/>
    <w:rsid w:val="00891894"/>
    <w:rsid w:val="00896566"/>
    <w:rsid w:val="008A6A15"/>
    <w:rsid w:val="008B066F"/>
    <w:rsid w:val="008B7C1A"/>
    <w:rsid w:val="008C2118"/>
    <w:rsid w:val="008C3731"/>
    <w:rsid w:val="008C4C98"/>
    <w:rsid w:val="008D4BE2"/>
    <w:rsid w:val="008F13E7"/>
    <w:rsid w:val="00905BCC"/>
    <w:rsid w:val="00917062"/>
    <w:rsid w:val="00926BC9"/>
    <w:rsid w:val="00932904"/>
    <w:rsid w:val="00933A67"/>
    <w:rsid w:val="00937171"/>
    <w:rsid w:val="00943C54"/>
    <w:rsid w:val="00946B1C"/>
    <w:rsid w:val="00963891"/>
    <w:rsid w:val="009813F8"/>
    <w:rsid w:val="009827E2"/>
    <w:rsid w:val="009B61A3"/>
    <w:rsid w:val="009C664A"/>
    <w:rsid w:val="009D54CA"/>
    <w:rsid w:val="009D690D"/>
    <w:rsid w:val="009E0F33"/>
    <w:rsid w:val="00A025EE"/>
    <w:rsid w:val="00A115F0"/>
    <w:rsid w:val="00A130BD"/>
    <w:rsid w:val="00A16401"/>
    <w:rsid w:val="00A21F31"/>
    <w:rsid w:val="00A228A6"/>
    <w:rsid w:val="00A26662"/>
    <w:rsid w:val="00A32377"/>
    <w:rsid w:val="00A370EE"/>
    <w:rsid w:val="00A37AA9"/>
    <w:rsid w:val="00A4676E"/>
    <w:rsid w:val="00A4794E"/>
    <w:rsid w:val="00A552A3"/>
    <w:rsid w:val="00A6344D"/>
    <w:rsid w:val="00A705B8"/>
    <w:rsid w:val="00A70C20"/>
    <w:rsid w:val="00A72125"/>
    <w:rsid w:val="00A86060"/>
    <w:rsid w:val="00A933E5"/>
    <w:rsid w:val="00AA29CF"/>
    <w:rsid w:val="00AA45FE"/>
    <w:rsid w:val="00AB2AF5"/>
    <w:rsid w:val="00AD0C9C"/>
    <w:rsid w:val="00AD1C3D"/>
    <w:rsid w:val="00AE7C47"/>
    <w:rsid w:val="00AF5393"/>
    <w:rsid w:val="00B027AA"/>
    <w:rsid w:val="00B028FD"/>
    <w:rsid w:val="00B0538E"/>
    <w:rsid w:val="00B07124"/>
    <w:rsid w:val="00B16B96"/>
    <w:rsid w:val="00B20870"/>
    <w:rsid w:val="00B20D45"/>
    <w:rsid w:val="00B2220A"/>
    <w:rsid w:val="00B456E0"/>
    <w:rsid w:val="00B4702E"/>
    <w:rsid w:val="00B52FF7"/>
    <w:rsid w:val="00B60999"/>
    <w:rsid w:val="00B61E27"/>
    <w:rsid w:val="00B87CFA"/>
    <w:rsid w:val="00B928EE"/>
    <w:rsid w:val="00B95000"/>
    <w:rsid w:val="00B9574D"/>
    <w:rsid w:val="00BA3B3D"/>
    <w:rsid w:val="00BA3F63"/>
    <w:rsid w:val="00BA4D25"/>
    <w:rsid w:val="00BA78D7"/>
    <w:rsid w:val="00BD0ACB"/>
    <w:rsid w:val="00BD2AD0"/>
    <w:rsid w:val="00BE32D4"/>
    <w:rsid w:val="00BE58DE"/>
    <w:rsid w:val="00BE7398"/>
    <w:rsid w:val="00BF0F8C"/>
    <w:rsid w:val="00C006E1"/>
    <w:rsid w:val="00C01AFA"/>
    <w:rsid w:val="00C06C95"/>
    <w:rsid w:val="00C110CB"/>
    <w:rsid w:val="00C216BE"/>
    <w:rsid w:val="00C221B3"/>
    <w:rsid w:val="00C24BC7"/>
    <w:rsid w:val="00C330AB"/>
    <w:rsid w:val="00C33282"/>
    <w:rsid w:val="00C34C9A"/>
    <w:rsid w:val="00C57288"/>
    <w:rsid w:val="00C70B68"/>
    <w:rsid w:val="00CC0D70"/>
    <w:rsid w:val="00CD2B1B"/>
    <w:rsid w:val="00CE0511"/>
    <w:rsid w:val="00CE1387"/>
    <w:rsid w:val="00CE2D01"/>
    <w:rsid w:val="00CF193A"/>
    <w:rsid w:val="00CF6842"/>
    <w:rsid w:val="00CF7076"/>
    <w:rsid w:val="00D1294C"/>
    <w:rsid w:val="00D27BE0"/>
    <w:rsid w:val="00D323B8"/>
    <w:rsid w:val="00D32669"/>
    <w:rsid w:val="00D37E1C"/>
    <w:rsid w:val="00D426FA"/>
    <w:rsid w:val="00D427BC"/>
    <w:rsid w:val="00D506D8"/>
    <w:rsid w:val="00D525F6"/>
    <w:rsid w:val="00D60D0A"/>
    <w:rsid w:val="00D644BB"/>
    <w:rsid w:val="00D6560A"/>
    <w:rsid w:val="00D81D35"/>
    <w:rsid w:val="00D92D4E"/>
    <w:rsid w:val="00D95C08"/>
    <w:rsid w:val="00DA072A"/>
    <w:rsid w:val="00DA69E2"/>
    <w:rsid w:val="00DB6807"/>
    <w:rsid w:val="00DD3A7E"/>
    <w:rsid w:val="00DD63A7"/>
    <w:rsid w:val="00DD7BD8"/>
    <w:rsid w:val="00DE5FF0"/>
    <w:rsid w:val="00E00D27"/>
    <w:rsid w:val="00E03F65"/>
    <w:rsid w:val="00E13882"/>
    <w:rsid w:val="00E304D1"/>
    <w:rsid w:val="00E50D4A"/>
    <w:rsid w:val="00E52F3A"/>
    <w:rsid w:val="00E558D1"/>
    <w:rsid w:val="00E56899"/>
    <w:rsid w:val="00E610FA"/>
    <w:rsid w:val="00E65B67"/>
    <w:rsid w:val="00E67488"/>
    <w:rsid w:val="00E70EBD"/>
    <w:rsid w:val="00E72E01"/>
    <w:rsid w:val="00E754BC"/>
    <w:rsid w:val="00E830DF"/>
    <w:rsid w:val="00EA47D2"/>
    <w:rsid w:val="00EC29FC"/>
    <w:rsid w:val="00ED15E3"/>
    <w:rsid w:val="00ED1BF3"/>
    <w:rsid w:val="00ED74FD"/>
    <w:rsid w:val="00ED7B49"/>
    <w:rsid w:val="00EE4CF8"/>
    <w:rsid w:val="00EF0DFA"/>
    <w:rsid w:val="00F04BAB"/>
    <w:rsid w:val="00F05ECF"/>
    <w:rsid w:val="00F07550"/>
    <w:rsid w:val="00F1294F"/>
    <w:rsid w:val="00F13660"/>
    <w:rsid w:val="00F14F6F"/>
    <w:rsid w:val="00F1689B"/>
    <w:rsid w:val="00F25E5F"/>
    <w:rsid w:val="00F31FA9"/>
    <w:rsid w:val="00F33BEF"/>
    <w:rsid w:val="00F36A60"/>
    <w:rsid w:val="00F45497"/>
    <w:rsid w:val="00F51C66"/>
    <w:rsid w:val="00F54260"/>
    <w:rsid w:val="00F57771"/>
    <w:rsid w:val="00F62020"/>
    <w:rsid w:val="00F63E67"/>
    <w:rsid w:val="00F668CD"/>
    <w:rsid w:val="00F67710"/>
    <w:rsid w:val="00F84884"/>
    <w:rsid w:val="00F85F86"/>
    <w:rsid w:val="00F9427B"/>
    <w:rsid w:val="00F97484"/>
    <w:rsid w:val="00FA0E27"/>
    <w:rsid w:val="00FB2319"/>
    <w:rsid w:val="00FB766C"/>
    <w:rsid w:val="00FC3CDC"/>
    <w:rsid w:val="00FD4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D140A"/>
  <w14:defaultImageDpi w14:val="330"/>
  <w15:chartTrackingRefBased/>
  <w15:docId w15:val="{34DF4F7F-73D3-4D55-A854-EF10C5A7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664A"/>
    <w:pPr>
      <w:spacing w:before="120" w:after="120" w:line="312" w:lineRule="auto"/>
    </w:pPr>
    <w:rPr>
      <w:rFonts w:ascii="Arial" w:hAnsi="Arial"/>
      <w:sz w:val="22"/>
    </w:rPr>
  </w:style>
  <w:style w:type="paragraph" w:styleId="Heading1">
    <w:name w:val="heading 1"/>
    <w:basedOn w:val="Normal"/>
    <w:next w:val="Normal"/>
    <w:link w:val="Heading1Char"/>
    <w:uiPriority w:val="9"/>
    <w:qFormat/>
    <w:rsid w:val="00561918"/>
    <w:pPr>
      <w:keepNext/>
      <w:keepLines/>
      <w:pageBreakBefore/>
      <w:numPr>
        <w:numId w:val="7"/>
      </w:numPr>
      <w:pBdr>
        <w:bottom w:val="single" w:sz="4" w:space="1" w:color="auto"/>
      </w:pBdr>
      <w:spacing w:before="240" w:after="0" w:line="400" w:lineRule="exact"/>
      <w:outlineLvl w:val="0"/>
    </w:pPr>
    <w:rPr>
      <w:rFonts w:eastAsiaTheme="majorEastAsia" w:cstheme="majorBidi"/>
      <w:b/>
      <w:bCs/>
      <w:caps/>
      <w:sz w:val="32"/>
      <w:szCs w:val="32"/>
    </w:rPr>
  </w:style>
  <w:style w:type="paragraph" w:styleId="Heading2">
    <w:name w:val="heading 2"/>
    <w:basedOn w:val="Heading1"/>
    <w:next w:val="Normal"/>
    <w:link w:val="Heading2Char"/>
    <w:uiPriority w:val="9"/>
    <w:unhideWhenUsed/>
    <w:qFormat/>
    <w:rsid w:val="00BE58DE"/>
    <w:pPr>
      <w:pageBreakBefore w:val="0"/>
      <w:numPr>
        <w:ilvl w:val="1"/>
        <w:numId w:val="1"/>
      </w:numPr>
      <w:pBdr>
        <w:bottom w:val="none" w:sz="0" w:space="0" w:color="auto"/>
      </w:pBdr>
      <w:spacing w:before="40"/>
      <w:ind w:left="0" w:firstLine="0"/>
      <w:outlineLvl w:val="1"/>
    </w:pPr>
    <w:rPr>
      <w:sz w:val="26"/>
      <w:szCs w:val="26"/>
    </w:rPr>
  </w:style>
  <w:style w:type="paragraph" w:styleId="Heading3">
    <w:name w:val="heading 3"/>
    <w:basedOn w:val="Heading2"/>
    <w:next w:val="Normal"/>
    <w:link w:val="Heading3Char"/>
    <w:uiPriority w:val="9"/>
    <w:unhideWhenUsed/>
    <w:qFormat/>
    <w:rsid w:val="00ED7B49"/>
    <w:pPr>
      <w:outlineLvl w:val="2"/>
    </w:pPr>
    <w:rPr>
      <w:sz w:val="24"/>
    </w:rPr>
  </w:style>
  <w:style w:type="paragraph" w:styleId="Heading4">
    <w:name w:val="heading 4"/>
    <w:basedOn w:val="Normal"/>
    <w:next w:val="Normal"/>
    <w:link w:val="Heading4Char"/>
    <w:uiPriority w:val="9"/>
    <w:semiHidden/>
    <w:unhideWhenUsed/>
    <w:qFormat/>
    <w:rsid w:val="003E22E1"/>
    <w:pPr>
      <w:keepNext/>
      <w:keepLines/>
      <w:spacing w:before="40" w:after="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8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870"/>
    <w:rPr>
      <w:rFonts w:ascii="Lucida Grande" w:hAnsi="Lucida Grande" w:cs="Lucida Grande"/>
      <w:sz w:val="18"/>
      <w:szCs w:val="18"/>
    </w:rPr>
  </w:style>
  <w:style w:type="character" w:styleId="LineNumber">
    <w:name w:val="line number"/>
    <w:basedOn w:val="DefaultParagraphFont"/>
    <w:uiPriority w:val="99"/>
    <w:semiHidden/>
    <w:unhideWhenUsed/>
    <w:rsid w:val="000F6074"/>
  </w:style>
  <w:style w:type="character" w:customStyle="1" w:styleId="Heading1Char">
    <w:name w:val="Heading 1 Char"/>
    <w:basedOn w:val="DefaultParagraphFont"/>
    <w:link w:val="Heading1"/>
    <w:uiPriority w:val="9"/>
    <w:rsid w:val="00D506D8"/>
    <w:rPr>
      <w:rFonts w:ascii="Arial" w:eastAsiaTheme="majorEastAsia" w:hAnsi="Arial" w:cstheme="majorBidi"/>
      <w:b/>
      <w:bCs/>
      <w:caps/>
      <w:sz w:val="32"/>
      <w:szCs w:val="32"/>
    </w:rPr>
  </w:style>
  <w:style w:type="character" w:customStyle="1" w:styleId="Heading2Char">
    <w:name w:val="Heading 2 Char"/>
    <w:basedOn w:val="DefaultParagraphFont"/>
    <w:link w:val="Heading2"/>
    <w:uiPriority w:val="9"/>
    <w:rsid w:val="00BE58DE"/>
    <w:rPr>
      <w:rFonts w:ascii="Arial" w:eastAsiaTheme="majorEastAsia" w:hAnsi="Arial" w:cstheme="majorBidi"/>
      <w:b/>
      <w:bCs/>
      <w:caps/>
      <w:sz w:val="26"/>
      <w:szCs w:val="26"/>
    </w:rPr>
  </w:style>
  <w:style w:type="paragraph" w:styleId="Title">
    <w:name w:val="Title"/>
    <w:basedOn w:val="Normal"/>
    <w:next w:val="Normal"/>
    <w:link w:val="TitleChar"/>
    <w:uiPriority w:val="10"/>
    <w:qFormat/>
    <w:rsid w:val="003E22E1"/>
    <w:pPr>
      <w:widowControl w:val="0"/>
      <w:spacing w:before="240" w:after="240" w:line="240" w:lineRule="auto"/>
      <w:contextualSpacing/>
    </w:pPr>
    <w:rPr>
      <w:rFonts w:eastAsiaTheme="majorEastAsia" w:cstheme="majorBidi"/>
      <w:b/>
      <w:color w:val="1F497D" w:themeColor="text2"/>
      <w:spacing w:val="-10"/>
      <w:kern w:val="28"/>
      <w:sz w:val="40"/>
      <w:szCs w:val="56"/>
    </w:rPr>
  </w:style>
  <w:style w:type="character" w:customStyle="1" w:styleId="TitleChar">
    <w:name w:val="Title Char"/>
    <w:basedOn w:val="DefaultParagraphFont"/>
    <w:link w:val="Title"/>
    <w:uiPriority w:val="10"/>
    <w:rsid w:val="003E22E1"/>
    <w:rPr>
      <w:rFonts w:ascii="Arial" w:eastAsiaTheme="majorEastAsia" w:hAnsi="Arial" w:cstheme="majorBidi"/>
      <w:b/>
      <w:color w:val="1F497D" w:themeColor="text2"/>
      <w:spacing w:val="-10"/>
      <w:kern w:val="28"/>
      <w:sz w:val="40"/>
      <w:szCs w:val="56"/>
    </w:rPr>
  </w:style>
  <w:style w:type="paragraph" w:styleId="Header">
    <w:name w:val="header"/>
    <w:basedOn w:val="Normal"/>
    <w:link w:val="HeaderChar"/>
    <w:uiPriority w:val="99"/>
    <w:unhideWhenUsed/>
    <w:rsid w:val="003E22E1"/>
    <w:pPr>
      <w:pBdr>
        <w:bottom w:val="single" w:sz="4" w:space="1" w:color="00B0F0"/>
      </w:pBdr>
      <w:tabs>
        <w:tab w:val="center" w:pos="4680"/>
        <w:tab w:val="right" w:pos="9360"/>
      </w:tabs>
      <w:spacing w:before="0" w:after="360" w:line="240" w:lineRule="auto"/>
    </w:pPr>
    <w:rPr>
      <w:b/>
      <w:sz w:val="32"/>
    </w:rPr>
  </w:style>
  <w:style w:type="character" w:customStyle="1" w:styleId="HeaderChar">
    <w:name w:val="Header Char"/>
    <w:basedOn w:val="DefaultParagraphFont"/>
    <w:link w:val="Header"/>
    <w:uiPriority w:val="99"/>
    <w:rsid w:val="003E22E1"/>
    <w:rPr>
      <w:rFonts w:ascii="Arial" w:hAnsi="Arial"/>
      <w:b/>
      <w:sz w:val="32"/>
    </w:rPr>
  </w:style>
  <w:style w:type="paragraph" w:styleId="Footer">
    <w:name w:val="footer"/>
    <w:basedOn w:val="Normal"/>
    <w:link w:val="FooterChar"/>
    <w:uiPriority w:val="99"/>
    <w:unhideWhenUsed/>
    <w:qFormat/>
    <w:rsid w:val="00D1294C"/>
    <w:pPr>
      <w:pBdr>
        <w:top w:val="single" w:sz="8" w:space="1" w:color="00B0F0"/>
      </w:pBdr>
      <w:tabs>
        <w:tab w:val="center" w:pos="4680"/>
        <w:tab w:val="right" w:pos="9360"/>
      </w:tabs>
      <w:spacing w:before="0" w:after="0" w:line="240" w:lineRule="auto"/>
    </w:pPr>
    <w:rPr>
      <w:b/>
      <w:sz w:val="18"/>
    </w:rPr>
  </w:style>
  <w:style w:type="character" w:customStyle="1" w:styleId="FooterChar">
    <w:name w:val="Footer Char"/>
    <w:basedOn w:val="DefaultParagraphFont"/>
    <w:link w:val="Footer"/>
    <w:uiPriority w:val="99"/>
    <w:rsid w:val="00D1294C"/>
    <w:rPr>
      <w:rFonts w:ascii="Arial" w:hAnsi="Arial"/>
      <w:b/>
      <w:sz w:val="18"/>
    </w:rPr>
  </w:style>
  <w:style w:type="character" w:styleId="Hyperlink">
    <w:name w:val="Hyperlink"/>
    <w:basedOn w:val="DefaultParagraphFont"/>
    <w:uiPriority w:val="99"/>
    <w:unhideWhenUsed/>
    <w:rsid w:val="00D1294C"/>
    <w:rPr>
      <w:color w:val="0000FF" w:themeColor="hyperlink"/>
      <w:u w:val="single"/>
    </w:rPr>
  </w:style>
  <w:style w:type="paragraph" w:customStyle="1" w:styleId="Footer-IPR">
    <w:name w:val="Footer - IPR"/>
    <w:qFormat/>
    <w:rsid w:val="00D1294C"/>
    <w:pPr>
      <w:tabs>
        <w:tab w:val="center" w:pos="4680"/>
        <w:tab w:val="right" w:pos="9360"/>
      </w:tabs>
      <w:spacing w:before="120"/>
    </w:pPr>
    <w:rPr>
      <w:rFonts w:ascii="Arial" w:hAnsi="Arial"/>
      <w:smallCaps/>
      <w:sz w:val="18"/>
      <w:lang w:val="en-CA"/>
    </w:rPr>
  </w:style>
  <w:style w:type="character" w:styleId="PageNumber">
    <w:name w:val="page number"/>
    <w:basedOn w:val="DefaultParagraphFont"/>
    <w:uiPriority w:val="99"/>
    <w:semiHidden/>
    <w:unhideWhenUsed/>
    <w:rsid w:val="00712710"/>
  </w:style>
  <w:style w:type="character" w:customStyle="1" w:styleId="Heading4Char">
    <w:name w:val="Heading 4 Char"/>
    <w:basedOn w:val="DefaultParagraphFont"/>
    <w:link w:val="Heading4"/>
    <w:uiPriority w:val="9"/>
    <w:semiHidden/>
    <w:rsid w:val="003E22E1"/>
    <w:rPr>
      <w:rFonts w:ascii="Arial" w:eastAsiaTheme="majorEastAsia" w:hAnsi="Arial" w:cstheme="majorBidi"/>
      <w:i/>
      <w:iCs/>
      <w:color w:val="365F91" w:themeColor="accent1" w:themeShade="BF"/>
      <w:sz w:val="22"/>
    </w:rPr>
  </w:style>
  <w:style w:type="paragraph" w:styleId="TOC1">
    <w:name w:val="toc 1"/>
    <w:basedOn w:val="Normal"/>
    <w:next w:val="Normal"/>
    <w:autoRedefine/>
    <w:uiPriority w:val="39"/>
    <w:unhideWhenUsed/>
    <w:rsid w:val="008C4C98"/>
    <w:pPr>
      <w:spacing w:after="0"/>
    </w:pPr>
    <w:rPr>
      <w:b/>
      <w:bCs/>
      <w:caps/>
      <w:szCs w:val="22"/>
    </w:rPr>
  </w:style>
  <w:style w:type="paragraph" w:styleId="TOC2">
    <w:name w:val="toc 2"/>
    <w:basedOn w:val="Normal"/>
    <w:next w:val="Normal"/>
    <w:autoRedefine/>
    <w:uiPriority w:val="39"/>
    <w:unhideWhenUsed/>
    <w:rsid w:val="008C4C98"/>
    <w:pPr>
      <w:spacing w:before="0" w:after="0"/>
      <w:ind w:left="220"/>
    </w:pPr>
    <w:rPr>
      <w:smallCaps/>
      <w:szCs w:val="22"/>
    </w:rPr>
  </w:style>
  <w:style w:type="paragraph" w:styleId="TOC3">
    <w:name w:val="toc 3"/>
    <w:basedOn w:val="Normal"/>
    <w:next w:val="Normal"/>
    <w:autoRedefine/>
    <w:uiPriority w:val="39"/>
    <w:unhideWhenUsed/>
    <w:rsid w:val="003E22E1"/>
    <w:pPr>
      <w:spacing w:before="0" w:after="0"/>
      <w:ind w:left="440"/>
    </w:pPr>
    <w:rPr>
      <w:i/>
      <w:iCs/>
      <w:smallCaps/>
      <w:szCs w:val="22"/>
    </w:rPr>
  </w:style>
  <w:style w:type="paragraph" w:customStyle="1" w:styleId="DocumentInstructions">
    <w:name w:val="Document Instructions"/>
    <w:basedOn w:val="Normal"/>
    <w:qFormat/>
    <w:rsid w:val="003B5554"/>
    <w:rPr>
      <w:i/>
      <w:color w:val="FF0000"/>
    </w:rPr>
  </w:style>
  <w:style w:type="character" w:customStyle="1" w:styleId="Heading3Char">
    <w:name w:val="Heading 3 Char"/>
    <w:basedOn w:val="DefaultParagraphFont"/>
    <w:link w:val="Heading3"/>
    <w:uiPriority w:val="9"/>
    <w:rsid w:val="00ED7B49"/>
    <w:rPr>
      <w:rFonts w:ascii="Arial" w:eastAsiaTheme="majorEastAsia" w:hAnsi="Arial" w:cstheme="majorBidi"/>
      <w:b/>
      <w:bCs/>
      <w:caps/>
      <w:szCs w:val="26"/>
    </w:rPr>
  </w:style>
  <w:style w:type="character" w:customStyle="1" w:styleId="VersionNumber">
    <w:name w:val="Version Number"/>
    <w:basedOn w:val="DefaultParagraphFont"/>
    <w:uiPriority w:val="1"/>
    <w:qFormat/>
    <w:rsid w:val="00F97484"/>
  </w:style>
  <w:style w:type="character" w:customStyle="1" w:styleId="DocumentDate">
    <w:name w:val="Document Date"/>
    <w:basedOn w:val="VersionNumber"/>
    <w:uiPriority w:val="1"/>
    <w:qFormat/>
    <w:rsid w:val="0005759A"/>
  </w:style>
  <w:style w:type="character" w:styleId="FollowedHyperlink">
    <w:name w:val="FollowedHyperlink"/>
    <w:basedOn w:val="DefaultParagraphFont"/>
    <w:uiPriority w:val="99"/>
    <w:semiHidden/>
    <w:unhideWhenUsed/>
    <w:rsid w:val="00E558D1"/>
    <w:rPr>
      <w:color w:val="800080" w:themeColor="followedHyperlink"/>
      <w:u w:val="single"/>
    </w:rPr>
  </w:style>
  <w:style w:type="character" w:styleId="CommentReference">
    <w:name w:val="annotation reference"/>
    <w:basedOn w:val="DefaultParagraphFont"/>
    <w:uiPriority w:val="99"/>
    <w:semiHidden/>
    <w:unhideWhenUsed/>
    <w:rsid w:val="00AE7C47"/>
    <w:rPr>
      <w:sz w:val="18"/>
      <w:szCs w:val="18"/>
    </w:rPr>
  </w:style>
  <w:style w:type="paragraph" w:styleId="CommentText">
    <w:name w:val="annotation text"/>
    <w:basedOn w:val="Normal"/>
    <w:link w:val="CommentTextChar"/>
    <w:uiPriority w:val="99"/>
    <w:unhideWhenUsed/>
    <w:rsid w:val="00AE7C47"/>
    <w:pPr>
      <w:spacing w:line="240" w:lineRule="auto"/>
    </w:pPr>
    <w:rPr>
      <w:sz w:val="24"/>
    </w:rPr>
  </w:style>
  <w:style w:type="character" w:customStyle="1" w:styleId="CommentTextChar">
    <w:name w:val="Comment Text Char"/>
    <w:basedOn w:val="DefaultParagraphFont"/>
    <w:link w:val="CommentText"/>
    <w:uiPriority w:val="99"/>
    <w:rsid w:val="00AE7C47"/>
    <w:rPr>
      <w:rFonts w:ascii="Arial" w:hAnsi="Arial"/>
    </w:rPr>
  </w:style>
  <w:style w:type="paragraph" w:styleId="CommentSubject">
    <w:name w:val="annotation subject"/>
    <w:basedOn w:val="CommentText"/>
    <w:next w:val="CommentText"/>
    <w:link w:val="CommentSubjectChar"/>
    <w:uiPriority w:val="99"/>
    <w:semiHidden/>
    <w:unhideWhenUsed/>
    <w:rsid w:val="00AE7C47"/>
    <w:rPr>
      <w:b/>
      <w:bCs/>
      <w:sz w:val="20"/>
      <w:szCs w:val="20"/>
    </w:rPr>
  </w:style>
  <w:style w:type="character" w:customStyle="1" w:styleId="CommentSubjectChar">
    <w:name w:val="Comment Subject Char"/>
    <w:basedOn w:val="CommentTextChar"/>
    <w:link w:val="CommentSubject"/>
    <w:uiPriority w:val="99"/>
    <w:semiHidden/>
    <w:rsid w:val="00AE7C47"/>
    <w:rPr>
      <w:rFonts w:ascii="Arial" w:hAnsi="Arial"/>
      <w:b/>
      <w:bCs/>
      <w:sz w:val="20"/>
      <w:szCs w:val="20"/>
    </w:rPr>
  </w:style>
  <w:style w:type="paragraph" w:styleId="ListParagraph">
    <w:name w:val="List Paragraph"/>
    <w:basedOn w:val="Normal"/>
    <w:uiPriority w:val="34"/>
    <w:qFormat/>
    <w:rsid w:val="00E830DF"/>
    <w:pPr>
      <w:ind w:left="720"/>
      <w:contextualSpacing/>
    </w:pPr>
  </w:style>
  <w:style w:type="paragraph" w:customStyle="1" w:styleId="CopyrightNoticeHeading">
    <w:name w:val="Copyright Notice Heading"/>
    <w:basedOn w:val="Normal"/>
    <w:rsid w:val="00F04BAB"/>
    <w:pPr>
      <w:pageBreakBefore/>
      <w:jc w:val="center"/>
    </w:pPr>
    <w:rPr>
      <w:b/>
      <w:caps/>
    </w:rPr>
  </w:style>
  <w:style w:type="table" w:customStyle="1" w:styleId="TableGrid1">
    <w:name w:val="Table Grid1"/>
    <w:basedOn w:val="TableNormal"/>
    <w:next w:val="TableGrid"/>
    <w:uiPriority w:val="39"/>
    <w:rsid w:val="00FB23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B2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55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68BD0443B0B740A8E5A1F65BADCAD1" ma:contentTypeVersion="9" ma:contentTypeDescription="Create a new document." ma:contentTypeScope="" ma:versionID="a64615e4132142216096d47cd44751a7">
  <xsd:schema xmlns:xsd="http://www.w3.org/2001/XMLSchema" xmlns:xs="http://www.w3.org/2001/XMLSchema" xmlns:p="http://schemas.microsoft.com/office/2006/metadata/properties" xmlns:ns3="efbc0170-08d1-4206-9939-73fe0ac2e6f5" targetNamespace="http://schemas.microsoft.com/office/2006/metadata/properties" ma:root="true" ma:fieldsID="a5f3c66dd365c285ff5f7ec072dbb282" ns3:_="">
    <xsd:import namespace="efbc0170-08d1-4206-9939-73fe0ac2e6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c0170-08d1-4206-9939-73fe0ac2e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DC534D-740F-41B3-A0D0-8B35267AC5A1}">
  <ds:schemaRefs>
    <ds:schemaRef ds:uri="http://schemas.microsoft.com/sharepoint/v3/contenttype/forms"/>
  </ds:schemaRefs>
</ds:datastoreItem>
</file>

<file path=customXml/itemProps2.xml><?xml version="1.0" encoding="utf-8"?>
<ds:datastoreItem xmlns:ds="http://schemas.openxmlformats.org/officeDocument/2006/customXml" ds:itemID="{5ED06949-7261-44EE-9248-C92676571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c0170-08d1-4206-9939-73fe0ac2e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EF6C4-A781-44E2-B74A-2D65635291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5C977B-43FF-4E71-A0DA-55C60C91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Design Goals for a Healthcare Identity Environment Architecture</vt:lpstr>
    </vt:vector>
  </TitlesOfParts>
  <Manager>Kantara Healthcare Identity Assurance Working Group (HIAWG)</Manager>
  <Company>Kantara Initiative, Inc.</Company>
  <LinksUpToDate>false</LinksUpToDate>
  <CharactersWithSpaces>19347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Goals for a Healthcare Identity Environment Architecture</dc:title>
  <dc:subject/>
  <dc:creator>Dr. Thomas Sullivan, Martin F. Smith</dc:creator>
  <cp:keywords/>
  <dc:description>Kantara’s Healthcare Identity Assurance Working Group (HIAWG) is building on the work of the Healthcare Committee of the former Identity Ecosystem Steering Group (IDESG) towards defining design goals (i.e., high-level requirements) for an identity architecture for the national healthcare sector. This healthcare-specific architecture should meet the business requirements of that sector while also maintaining alignment with the principles of the 2012 (US) National Strategy for Trusted Identities in Cyberspace (NSTIC.)</dc:description>
  <cp:lastModifiedBy>Tom (Thomas) Sullivan</cp:lastModifiedBy>
  <cp:revision>2</cp:revision>
  <cp:lastPrinted>2017-05-14T12:03:00Z</cp:lastPrinted>
  <dcterms:created xsi:type="dcterms:W3CDTF">2020-03-09T15:25:00Z</dcterms:created>
  <dcterms:modified xsi:type="dcterms:W3CDTF">2020-03-09T15:25:00Z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Date">
    <vt:lpwstr>2020</vt:lpwstr>
  </property>
  <property fmtid="{D5CDD505-2E9C-101B-9397-08002B2CF9AE}" pid="3" name="KI-Group-Editors-Draft">
    <vt:bool>false</vt:bool>
  </property>
  <property fmtid="{D5CDD505-2E9C-101B-9397-08002B2CF9AE}" pid="4" name="KI-Group-Approved-Draft">
    <vt:bool>true</vt:bool>
  </property>
  <property fmtid="{D5CDD505-2E9C-101B-9397-08002B2CF9AE}" pid="5" name="KI-Public-Review-Draft">
    <vt:bool>false</vt:bool>
  </property>
  <property fmtid="{D5CDD505-2E9C-101B-9397-08002B2CF9AE}" pid="6" name="KI-Group-Approved">
    <vt:bool>false</vt:bool>
  </property>
  <property fmtid="{D5CDD505-2E9C-101B-9397-08002B2CF9AE}" pid="7" name="KI-Kantara-Initiative-Candidate">
    <vt:bool>false</vt:bool>
  </property>
  <property fmtid="{D5CDD505-2E9C-101B-9397-08002B2CF9AE}" pid="8" name="KI-Kantara-Initiative-Final-Report">
    <vt:bool>false</vt:bool>
  </property>
  <property fmtid="{D5CDD505-2E9C-101B-9397-08002B2CF9AE}" pid="9" name="KI-Kantara-Initiative-Final-Recommendation">
    <vt:bool>false</vt:bool>
  </property>
  <property fmtid="{D5CDD505-2E9C-101B-9397-08002B2CF9AE}" pid="10" name="KI-IPR-NAC">
    <vt:bool>false</vt:bool>
  </property>
  <property fmtid="{D5CDD505-2E9C-101B-9397-08002B2CF9AE}" pid="11" name="KI-IPR-RAND">
    <vt:bool>false</vt:bool>
  </property>
  <property fmtid="{D5CDD505-2E9C-101B-9397-08002B2CF9AE}" pid="12" name="KI-IPR-CCSA">
    <vt:bool>true</vt:bool>
  </property>
  <property fmtid="{D5CDD505-2E9C-101B-9397-08002B2CF9AE}" pid="13" name="KI-IPR-APACHE">
    <vt:bool>false</vt:bool>
  </property>
  <property fmtid="{D5CDD505-2E9C-101B-9397-08002B2CF9AE}" pid="14" name="ContentTypeId">
    <vt:lpwstr>0x010100DE68BD0443B0B740A8E5A1F65BADCAD1</vt:lpwstr>
  </property>
</Properties>
</file>