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163EE" w14:textId="31497B60" w:rsidR="00BF1AEE" w:rsidRPr="00D12895" w:rsidRDefault="00BF1AEE" w:rsidP="00F74DC7">
      <w:pPr>
        <w:pStyle w:val="Titlepageinfo"/>
      </w:pPr>
      <w:bookmarkStart w:id="0" w:name="_Ref49748389"/>
      <w:bookmarkEnd w:id="0"/>
      <w:r w:rsidRPr="00D12895">
        <w:t xml:space="preserve">Identity Assurance Framework: </w:t>
      </w:r>
      <w:r w:rsidRPr="00D12895">
        <w:br/>
      </w:r>
      <w:r w:rsidR="00457A5B" w:rsidRPr="00D12895">
        <w:t>Kantara Assessor’s Report</w:t>
      </w:r>
      <w:r w:rsidR="0000224A" w:rsidRPr="00D12895">
        <w:t xml:space="preserve"> (</w:t>
      </w:r>
      <w:r w:rsidR="0000224A" w:rsidRPr="00D12895">
        <w:rPr>
          <w:i/>
        </w:rPr>
        <w:t>pro forma</w:t>
      </w:r>
      <w:r w:rsidR="0000224A" w:rsidRPr="00D12895">
        <w:t>)</w:t>
      </w:r>
    </w:p>
    <w:p w14:paraId="52F36E90" w14:textId="661BAC5F" w:rsidR="00AC5C2C" w:rsidRPr="00D12895" w:rsidRDefault="00AC5C2C" w:rsidP="005B28C3">
      <w:pPr>
        <w:pStyle w:val="Default"/>
        <w:tabs>
          <w:tab w:val="right" w:pos="2880"/>
        </w:tabs>
        <w:spacing w:before="120" w:after="60"/>
        <w:ind w:left="2268" w:hanging="2268"/>
        <w:rPr>
          <w:rStyle w:val="BodyTextChar"/>
          <w:rFonts w:ascii="Times New Roman" w:hAnsi="Times New Roman" w:cs="Times New Roman"/>
          <w:b/>
          <w:color w:val="000080"/>
          <w:szCs w:val="40"/>
        </w:rPr>
      </w:pPr>
      <w:bookmarkStart w:id="1" w:name="_Toc116532192"/>
      <w:bookmarkStart w:id="2" w:name="_Toc116535122"/>
      <w:bookmarkStart w:id="3" w:name="_Toc243379786"/>
      <w:bookmarkStart w:id="4" w:name="_Toc244482061"/>
      <w:r w:rsidRPr="00D12895">
        <w:rPr>
          <w:rStyle w:val="BodyTextChar"/>
          <w:rFonts w:ascii="Times New Roman" w:hAnsi="Times New Roman" w:cs="Times New Roman"/>
          <w:b/>
        </w:rPr>
        <w:t>Version</w:t>
      </w:r>
      <w:r w:rsidRPr="00D12895">
        <w:rPr>
          <w:rStyle w:val="BodyTextChar"/>
          <w:rFonts w:ascii="Times New Roman" w:hAnsi="Times New Roman" w:cs="Times New Roman"/>
        </w:rPr>
        <w:tab/>
      </w:r>
      <w:r w:rsidR="00AD6100">
        <w:rPr>
          <w:rStyle w:val="BodyTextChar"/>
          <w:rFonts w:ascii="Times New Roman" w:hAnsi="Times New Roman" w:cs="Times New Roman"/>
        </w:rPr>
        <w:t>3</w:t>
      </w:r>
      <w:r w:rsidR="00810E7E">
        <w:rPr>
          <w:rStyle w:val="BodyTextChar"/>
          <w:rFonts w:ascii="Times New Roman" w:hAnsi="Times New Roman" w:cs="Times New Roman"/>
        </w:rPr>
        <w:t>.0</w:t>
      </w:r>
    </w:p>
    <w:p w14:paraId="028FD9C6" w14:textId="4FA944F3" w:rsidR="00297A85" w:rsidRPr="00D12895" w:rsidRDefault="00297A85" w:rsidP="005B28C3">
      <w:pPr>
        <w:pStyle w:val="Default"/>
        <w:spacing w:before="120"/>
        <w:ind w:left="2268" w:right="-1423" w:hanging="2268"/>
        <w:rPr>
          <w:rStyle w:val="BodyTextChar"/>
          <w:rFonts w:ascii="Times New Roman" w:hAnsi="Times New Roman" w:cs="Times New Roman"/>
          <w:color w:val="auto"/>
        </w:rPr>
      </w:pPr>
      <w:r w:rsidRPr="00D12895">
        <w:rPr>
          <w:rStyle w:val="BodyTextChar"/>
          <w:rFonts w:ascii="Times New Roman" w:hAnsi="Times New Roman" w:cs="Times New Roman"/>
          <w:b/>
          <w:color w:val="auto"/>
        </w:rPr>
        <w:t>Publication Date</w:t>
      </w:r>
      <w:r w:rsidRPr="00D12895">
        <w:rPr>
          <w:rStyle w:val="BodyTextChar"/>
          <w:rFonts w:ascii="Times New Roman" w:hAnsi="Times New Roman" w:cs="Times New Roman"/>
          <w:b/>
          <w:color w:val="auto"/>
        </w:rPr>
        <w:tab/>
      </w:r>
      <w:r w:rsidR="005B28C3">
        <w:rPr>
          <w:rStyle w:val="BodyTextChar"/>
          <w:rFonts w:ascii="Times New Roman" w:hAnsi="Times New Roman" w:cs="Times New Roman"/>
          <w:color w:val="auto"/>
        </w:rPr>
        <w:t>2018-01-</w:t>
      </w:r>
      <w:r w:rsidR="00AD6100">
        <w:rPr>
          <w:rStyle w:val="BodyTextChar"/>
          <w:rFonts w:ascii="Times New Roman" w:hAnsi="Times New Roman" w:cs="Times New Roman"/>
          <w:color w:val="auto"/>
        </w:rPr>
        <w:t>3</w:t>
      </w:r>
      <w:r w:rsidR="00080232">
        <w:rPr>
          <w:rStyle w:val="BodyTextChar"/>
          <w:rFonts w:ascii="Times New Roman" w:hAnsi="Times New Roman" w:cs="Times New Roman"/>
          <w:color w:val="auto"/>
        </w:rPr>
        <w:t>1</w:t>
      </w:r>
      <w:bookmarkStart w:id="5" w:name="_GoBack"/>
      <w:bookmarkEnd w:id="5"/>
    </w:p>
    <w:p w14:paraId="63A24197" w14:textId="2BC6EE74" w:rsidR="00297A85" w:rsidRPr="00D12895" w:rsidRDefault="00297A85" w:rsidP="005B28C3">
      <w:pPr>
        <w:pStyle w:val="Default"/>
        <w:spacing w:before="120"/>
        <w:ind w:left="2268" w:right="-1423" w:hanging="2268"/>
        <w:rPr>
          <w:rStyle w:val="BodyTextChar"/>
          <w:rFonts w:ascii="Times New Roman" w:hAnsi="Times New Roman" w:cs="Times New Roman"/>
          <w:color w:val="auto"/>
        </w:rPr>
      </w:pPr>
      <w:r w:rsidRPr="00D12895">
        <w:rPr>
          <w:rStyle w:val="BodyTextChar"/>
          <w:rFonts w:ascii="Times New Roman" w:hAnsi="Times New Roman" w:cs="Times New Roman"/>
          <w:b/>
          <w:color w:val="auto"/>
        </w:rPr>
        <w:t>Effective Date</w:t>
      </w:r>
      <w:r w:rsidRPr="00D12895">
        <w:rPr>
          <w:rStyle w:val="BodyTextChar"/>
          <w:rFonts w:ascii="Times New Roman" w:hAnsi="Times New Roman" w:cs="Times New Roman"/>
          <w:color w:val="auto"/>
        </w:rPr>
        <w:tab/>
        <w:t>2018-</w:t>
      </w:r>
      <w:r w:rsidR="00080232">
        <w:rPr>
          <w:rStyle w:val="BodyTextChar"/>
          <w:rFonts w:ascii="Times New Roman" w:hAnsi="Times New Roman" w:cs="Times New Roman"/>
          <w:color w:val="auto"/>
        </w:rPr>
        <w:t>05-01</w:t>
      </w:r>
    </w:p>
    <w:p w14:paraId="62BB34B1" w14:textId="09B69942" w:rsidR="00297A85" w:rsidRPr="00D12895" w:rsidRDefault="00297A85" w:rsidP="005B28C3">
      <w:pPr>
        <w:pStyle w:val="Default"/>
        <w:spacing w:before="120"/>
        <w:ind w:left="2268" w:right="-1423" w:hanging="2268"/>
        <w:rPr>
          <w:rStyle w:val="BodyTextChar"/>
          <w:rFonts w:ascii="Times New Roman" w:hAnsi="Times New Roman" w:cs="Times New Roman"/>
          <w:color w:val="auto"/>
        </w:rPr>
      </w:pPr>
      <w:r w:rsidRPr="00D12895">
        <w:rPr>
          <w:rStyle w:val="BodyTextChar"/>
          <w:rFonts w:ascii="Times New Roman" w:hAnsi="Times New Roman" w:cs="Times New Roman"/>
          <w:b/>
          <w:color w:val="auto"/>
        </w:rPr>
        <w:t>Status</w:t>
      </w:r>
      <w:r w:rsidRPr="00D12895">
        <w:rPr>
          <w:rStyle w:val="BodyTextChar"/>
          <w:rFonts w:ascii="Times New Roman" w:hAnsi="Times New Roman" w:cs="Times New Roman"/>
          <w:color w:val="auto"/>
        </w:rPr>
        <w:tab/>
      </w:r>
      <w:r w:rsidR="00080232">
        <w:rPr>
          <w:rStyle w:val="BodyTextChar"/>
          <w:rFonts w:ascii="Times New Roman" w:hAnsi="Times New Roman" w:cs="Times New Roman"/>
          <w:color w:val="auto"/>
        </w:rPr>
        <w:t>Final</w:t>
      </w:r>
    </w:p>
    <w:p w14:paraId="42E15E4A" w14:textId="77777777" w:rsidR="00297A85" w:rsidRPr="00D12895" w:rsidRDefault="00297A85" w:rsidP="005B28C3">
      <w:pPr>
        <w:pStyle w:val="Default"/>
        <w:spacing w:before="120"/>
        <w:ind w:left="2268" w:right="-1423" w:hanging="2268"/>
        <w:rPr>
          <w:rStyle w:val="BodyTextChar"/>
          <w:rFonts w:ascii="Times New Roman" w:hAnsi="Times New Roman" w:cs="Times New Roman"/>
          <w:color w:val="auto"/>
        </w:rPr>
      </w:pPr>
      <w:r w:rsidRPr="00D12895">
        <w:rPr>
          <w:rStyle w:val="BodyTextChar"/>
          <w:rFonts w:ascii="Times New Roman" w:hAnsi="Times New Roman" w:cs="Times New Roman"/>
          <w:b/>
          <w:color w:val="auto"/>
        </w:rPr>
        <w:t>Approval Authority</w:t>
      </w:r>
      <w:r w:rsidRPr="00D12895">
        <w:rPr>
          <w:rStyle w:val="BodyTextChar"/>
          <w:rFonts w:ascii="Times New Roman" w:hAnsi="Times New Roman" w:cs="Times New Roman"/>
          <w:b/>
          <w:color w:val="auto"/>
        </w:rPr>
        <w:tab/>
      </w:r>
      <w:r w:rsidRPr="00D12895">
        <w:rPr>
          <w:rStyle w:val="BodyTextChar"/>
          <w:rFonts w:ascii="Times New Roman" w:hAnsi="Times New Roman" w:cs="Times New Roman"/>
          <w:color w:val="auto"/>
        </w:rPr>
        <w:t>ARB</w:t>
      </w:r>
    </w:p>
    <w:p w14:paraId="5AEB1D9D" w14:textId="3D222689" w:rsidR="00297A85" w:rsidRPr="00D12895" w:rsidRDefault="00297A85" w:rsidP="005B28C3">
      <w:pPr>
        <w:pStyle w:val="Default"/>
        <w:spacing w:before="120" w:after="720"/>
        <w:ind w:left="2268" w:right="-1423" w:hanging="2268"/>
        <w:rPr>
          <w:rStyle w:val="BodyTextChar"/>
          <w:rFonts w:ascii="Times New Roman" w:hAnsi="Times New Roman" w:cs="Times New Roman"/>
          <w:color w:val="auto"/>
        </w:rPr>
      </w:pPr>
      <w:r w:rsidRPr="00D12895">
        <w:rPr>
          <w:rStyle w:val="BodyTextChar"/>
          <w:rFonts w:ascii="Times New Roman" w:hAnsi="Times New Roman" w:cs="Times New Roman"/>
          <w:b/>
          <w:color w:val="auto"/>
        </w:rPr>
        <w:t>Approval</w:t>
      </w:r>
      <w:r w:rsidRPr="00D12895">
        <w:rPr>
          <w:rStyle w:val="BodyTextChar"/>
          <w:rFonts w:ascii="Times New Roman" w:hAnsi="Times New Roman" w:cs="Times New Roman"/>
          <w:color w:val="auto"/>
        </w:rPr>
        <w:tab/>
      </w:r>
      <w:r w:rsidR="00080232">
        <w:rPr>
          <w:rStyle w:val="BodyTextChar"/>
          <w:rFonts w:ascii="Times New Roman" w:hAnsi="Times New Roman" w:cs="Times New Roman"/>
          <w:color w:val="auto"/>
        </w:rPr>
        <w:t>2018-01-29</w:t>
      </w:r>
    </w:p>
    <w:p w14:paraId="7DB8E3EA" w14:textId="785847AE" w:rsidR="00AC5C2C" w:rsidRPr="00D12895" w:rsidRDefault="00AC5C2C" w:rsidP="00355503">
      <w:pPr>
        <w:pStyle w:val="Default"/>
        <w:spacing w:before="120" w:after="60"/>
        <w:ind w:left="2268" w:hanging="2268"/>
        <w:rPr>
          <w:rStyle w:val="BodyTextChar"/>
          <w:rFonts w:ascii="Times New Roman" w:hAnsi="Times New Roman" w:cs="Times New Roman"/>
        </w:rPr>
      </w:pPr>
      <w:r w:rsidRPr="00D12895">
        <w:rPr>
          <w:rStyle w:val="BodyTextChar"/>
          <w:rFonts w:ascii="Times New Roman" w:hAnsi="Times New Roman" w:cs="Times New Roman"/>
          <w:b/>
        </w:rPr>
        <w:t>Editor</w:t>
      </w:r>
      <w:r w:rsidRPr="00D12895">
        <w:rPr>
          <w:rStyle w:val="BodyTextChar"/>
          <w:rFonts w:ascii="Times New Roman" w:hAnsi="Times New Roman" w:cs="Times New Roman"/>
        </w:rPr>
        <w:t>:</w:t>
      </w:r>
      <w:r w:rsidRPr="00D12895">
        <w:rPr>
          <w:rStyle w:val="BodyTextChar"/>
          <w:rFonts w:ascii="Times New Roman" w:hAnsi="Times New Roman" w:cs="Times New Roman"/>
        </w:rPr>
        <w:tab/>
      </w:r>
      <w:r w:rsidR="002E51D9" w:rsidRPr="00D12895">
        <w:rPr>
          <w:rStyle w:val="BodyTextChar"/>
          <w:rFonts w:ascii="Times New Roman" w:hAnsi="Times New Roman" w:cs="Times New Roman"/>
        </w:rPr>
        <w:t>Richard G. Wilsher</w:t>
      </w:r>
      <w:r w:rsidR="002E51D9" w:rsidRPr="00D12895">
        <w:rPr>
          <w:rStyle w:val="BodyTextChar"/>
          <w:rFonts w:ascii="Times New Roman" w:hAnsi="Times New Roman" w:cs="Times New Roman"/>
        </w:rPr>
        <w:br/>
      </w:r>
      <w:r w:rsidRPr="00D12895">
        <w:rPr>
          <w:rStyle w:val="BodyTextChar"/>
          <w:rFonts w:ascii="Times New Roman" w:hAnsi="Times New Roman" w:cs="Times New Roman"/>
        </w:rPr>
        <w:t>Zygma LLC</w:t>
      </w:r>
    </w:p>
    <w:p w14:paraId="21683759" w14:textId="77777777" w:rsidR="00355503" w:rsidRPr="000D3D59" w:rsidRDefault="00355503" w:rsidP="00355503">
      <w:pPr>
        <w:pStyle w:val="Default"/>
        <w:spacing w:before="120"/>
        <w:ind w:left="2268" w:right="-1423" w:hanging="2268"/>
        <w:rPr>
          <w:rFonts w:ascii="Times New Roman" w:hAnsi="Times New Roman" w:cs="Times New Roman"/>
        </w:rPr>
      </w:pPr>
      <w:bookmarkStart w:id="6" w:name="_Toc243379870"/>
      <w:bookmarkStart w:id="7" w:name="_Toc320674960"/>
      <w:bookmarkStart w:id="8" w:name="_Toc321765172"/>
      <w:bookmarkStart w:id="9" w:name="_Toc337683110"/>
      <w:bookmarkStart w:id="10" w:name="_Toc421738785"/>
      <w:r w:rsidRPr="000D3D59">
        <w:rPr>
          <w:rStyle w:val="BodyTextChar"/>
          <w:rFonts w:ascii="Times New Roman" w:hAnsi="Times New Roman" w:cs="Times New Roman"/>
          <w:b/>
          <w:color w:val="auto"/>
        </w:rPr>
        <w:t>Contributors</w:t>
      </w:r>
      <w:r w:rsidRPr="000D3D59">
        <w:rPr>
          <w:rStyle w:val="BodyTextChar"/>
          <w:rFonts w:ascii="Times New Roman" w:hAnsi="Times New Roman" w:cs="Times New Roman"/>
          <w:color w:val="auto"/>
        </w:rPr>
        <w:tab/>
      </w:r>
      <w:r>
        <w:rPr>
          <w:rStyle w:val="BodyTextChar"/>
          <w:rFonts w:ascii="Times New Roman" w:hAnsi="Times New Roman" w:cs="Times New Roman"/>
          <w:color w:val="auto"/>
        </w:rPr>
        <w:t>ARB Members, voting and non-voting, current as of the date of publication.</w:t>
      </w:r>
      <w:r w:rsidRPr="000D3D59">
        <w:rPr>
          <w:rFonts w:ascii="Times New Roman" w:hAnsi="Times New Roman" w:cs="Times New Roman"/>
        </w:rPr>
        <w:t xml:space="preserve"> </w:t>
      </w:r>
    </w:p>
    <w:bookmarkEnd w:id="6"/>
    <w:bookmarkEnd w:id="7"/>
    <w:bookmarkEnd w:id="8"/>
    <w:bookmarkEnd w:id="9"/>
    <w:bookmarkEnd w:id="10"/>
    <w:p w14:paraId="3EBF3932" w14:textId="77777777" w:rsidR="00AC5C2C" w:rsidRPr="00D12895" w:rsidRDefault="00AC5C2C" w:rsidP="00AC5C2C">
      <w:pPr>
        <w:pStyle w:val="Default"/>
        <w:spacing w:before="120" w:after="60"/>
        <w:rPr>
          <w:rFonts w:ascii="Times New Roman" w:hAnsi="Times New Roman" w:cs="Times New Roman"/>
          <w:b/>
          <w:color w:val="auto"/>
        </w:rPr>
      </w:pPr>
      <w:r w:rsidRPr="00D12895">
        <w:rPr>
          <w:rFonts w:ascii="Times New Roman" w:hAnsi="Times New Roman" w:cs="Times New Roman"/>
          <w:b/>
        </w:rPr>
        <w:t>Abstract</w:t>
      </w:r>
    </w:p>
    <w:p w14:paraId="78CDA5CC" w14:textId="77777777" w:rsidR="00355503" w:rsidRPr="00D12895" w:rsidRDefault="00355503" w:rsidP="00355503">
      <w:r w:rsidRPr="00D12895">
        <w:t>The present document sets out the required format and contents for a</w:t>
      </w:r>
      <w:r>
        <w:t xml:space="preserve"> Kantara-</w:t>
      </w:r>
      <w:r w:rsidRPr="00D12895">
        <w:t xml:space="preserve">Accredited Assessor’s </w:t>
      </w:r>
      <w:r>
        <w:t>R</w:t>
      </w:r>
      <w:r w:rsidRPr="00D12895">
        <w:t xml:space="preserve">eport to the Applicant (and ultimately the ARB) on its findings following an assessment of the Applicant’s service against the </w:t>
      </w:r>
      <w:r>
        <w:t xml:space="preserve">selected </w:t>
      </w:r>
      <w:r w:rsidRPr="00D12895">
        <w:t xml:space="preserve">SAC </w:t>
      </w:r>
      <w:r>
        <w:t xml:space="preserve">set(s) and </w:t>
      </w:r>
      <w:r w:rsidRPr="00D12895">
        <w:t>version</w:t>
      </w:r>
      <w:r>
        <w:t>(s)</w:t>
      </w:r>
      <w:r w:rsidRPr="00D12895">
        <w:t xml:space="preserve"> identified in the report.</w:t>
      </w:r>
    </w:p>
    <w:p w14:paraId="6A3438F3" w14:textId="1566037B" w:rsidR="00C25063" w:rsidRPr="00D12895" w:rsidRDefault="00F40A37" w:rsidP="00F40A37">
      <w:r w:rsidRPr="00080232">
        <w:t xml:space="preserve">An overall description of Kantara’s operations can be found on the </w:t>
      </w:r>
      <w:hyperlink r:id="rId9" w:history="1">
        <w:r w:rsidR="00312603" w:rsidRPr="00080232">
          <w:rPr>
            <w:rStyle w:val="Hyperlink"/>
          </w:rPr>
          <w:t>Trust Framework Operations Program (TFOP)</w:t>
        </w:r>
        <w:r w:rsidRPr="00080232">
          <w:rPr>
            <w:rStyle w:val="Hyperlink"/>
          </w:rPr>
          <w:t xml:space="preserve"> web page</w:t>
        </w:r>
      </w:hyperlink>
      <w:r w:rsidR="0098508D" w:rsidRPr="00080232">
        <w:t xml:space="preserve"> - https://kantarainitiative.org/trustoperations/.</w:t>
      </w:r>
      <w:r w:rsidR="00312603" w:rsidRPr="00080232">
        <w:t xml:space="preserve"> </w:t>
      </w:r>
      <w:r w:rsidRPr="00080232">
        <w:t xml:space="preserve"> </w:t>
      </w:r>
      <w:r w:rsidR="00C25063" w:rsidRPr="00080232">
        <w:t>The latest versions of each of the</w:t>
      </w:r>
      <w:r w:rsidRPr="00080232">
        <w:t xml:space="preserve"> </w:t>
      </w:r>
      <w:r w:rsidR="00355503">
        <w:t>applicable</w:t>
      </w:r>
      <w:r w:rsidR="00C25063" w:rsidRPr="00080232">
        <w:t xml:space="preserve"> documents can be found on Kantara’s </w:t>
      </w:r>
      <w:hyperlink r:id="rId10" w:history="1">
        <w:r w:rsidR="00C25063" w:rsidRPr="00080232">
          <w:rPr>
            <w:rStyle w:val="Hyperlink"/>
          </w:rPr>
          <w:t>Identity Assurance Framework web page</w:t>
        </w:r>
      </w:hyperlink>
      <w:r w:rsidR="0098508D" w:rsidRPr="00080232">
        <w:rPr>
          <w:rStyle w:val="Hyperlink"/>
        </w:rPr>
        <w:t xml:space="preserve"> - </w:t>
      </w:r>
      <w:hyperlink r:id="rId11" w:history="1">
        <w:r w:rsidR="00220D2E" w:rsidRPr="00F57260">
          <w:rPr>
            <w:rStyle w:val="Hyperlink"/>
          </w:rPr>
          <w:t>https://kantarainitiative.org/confluence/display/LC/Identity+Assurance+Framework</w:t>
        </w:r>
      </w:hyperlink>
      <w:r w:rsidR="00220D2E">
        <w:rPr>
          <w:rStyle w:val="Hyperlink"/>
        </w:rPr>
        <w:t xml:space="preserve"> </w:t>
      </w:r>
    </w:p>
    <w:p w14:paraId="0C48AE39" w14:textId="5FDC5925" w:rsidR="00AC5C2C" w:rsidRPr="00D12895" w:rsidRDefault="00AC5C2C">
      <w:pPr>
        <w:autoSpaceDE/>
        <w:autoSpaceDN/>
        <w:adjustRightInd/>
        <w:spacing w:after="0"/>
        <w:jc w:val="left"/>
        <w:rPr>
          <w:rFonts w:eastAsia="MS Mincho" w:cs="Arial"/>
          <w:b/>
          <w:bCs/>
          <w:kern w:val="32"/>
          <w:lang w:eastAsia="ja-JP"/>
        </w:rPr>
      </w:pPr>
      <w:bookmarkStart w:id="11" w:name="_Toc260291044"/>
    </w:p>
    <w:p w14:paraId="5B507887" w14:textId="77777777" w:rsidR="00AC5C2C" w:rsidRPr="00D12895" w:rsidRDefault="00AC5C2C" w:rsidP="00FD0FC4">
      <w:pPr>
        <w:pStyle w:val="Heading1-nonumbers"/>
      </w:pPr>
      <w:bookmarkStart w:id="12" w:name="_Toc321781550"/>
      <w:bookmarkStart w:id="13" w:name="_Toc505092490"/>
      <w:r w:rsidRPr="00D12895">
        <w:t>Notice</w:t>
      </w:r>
      <w:bookmarkEnd w:id="12"/>
      <w:bookmarkEnd w:id="13"/>
    </w:p>
    <w:p w14:paraId="51482FA5" w14:textId="77777777" w:rsidR="00355503" w:rsidRPr="000D3D59" w:rsidRDefault="00355503" w:rsidP="00355503">
      <w:r w:rsidRPr="000D3D59">
        <w:t xml:space="preserve">This </w:t>
      </w:r>
      <w:r>
        <w:t>document</w:t>
      </w:r>
      <w:r w:rsidRPr="000D3D59">
        <w:t xml:space="preserve"> has been prepared by Kantara Initiative</w:t>
      </w:r>
      <w:r>
        <w:t>’s Assessment Review Board</w:t>
      </w:r>
      <w:r w:rsidRPr="000D3D59">
        <w:t xml:space="preserve">.  Permission is hereby granted to use the document solely for the purpose of </w:t>
      </w:r>
      <w:r>
        <w:t>participating as a Member of Kantara Initiative</w:t>
      </w:r>
      <w:r w:rsidRPr="000D3D59">
        <w:t>.  No rights are granted to prepare derivative works of this Specification. Entities seeking permission to reproduce portions of this document for other uses must contact Kantara Initiative to determine whether an appropriate license for such use is available.</w:t>
      </w:r>
    </w:p>
    <w:p w14:paraId="03CB7670" w14:textId="7E1EBD41" w:rsidR="00AC5C2C" w:rsidRPr="00D12895" w:rsidRDefault="00AC5C2C" w:rsidP="00AC5C2C">
      <w:r w:rsidRPr="00D12895">
        <w:t xml:space="preserve">Implementation or use of certain elements of this document may require licenses under third party intellectual property rights, including without limitation, patent rights.  The Participants of and any other contributors to the Specification are not and shall not be held responsible in any manner for identifying or </w:t>
      </w:r>
      <w:r w:rsidRPr="00D12895">
        <w:lastRenderedPageBreak/>
        <w:t xml:space="preserve">failing to identify any or all such third party intellectual property rights.  This Specification is provided "AS IS," and no Participant in Kantara Initiative makes any warranty of any kind, expressed or implied, including any implied warranties of merchantability, non-infringement of third party intellectual property rights, and fitness for a particular purpose.  Implementers of this Specification are advised to review Kantara Initiative’s website (http://www.kantarainitiative.org/) for information concerning any Necessary Claims Disclosure Notices that have been received by the Kantara Initiative Board of </w:t>
      </w:r>
      <w:r w:rsidR="00297A85" w:rsidRPr="00D12895">
        <w:t>Directors</w:t>
      </w:r>
      <w:r w:rsidRPr="00D12895">
        <w:t xml:space="preserve">. </w:t>
      </w:r>
    </w:p>
    <w:p w14:paraId="2DF369D6" w14:textId="64426831" w:rsidR="00297A85" w:rsidRPr="00D12895" w:rsidRDefault="00297A85" w:rsidP="00297A85">
      <w:pPr>
        <w:rPr>
          <w:rStyle w:val="Strong"/>
          <w:b w:val="0"/>
          <w:bCs w:val="0"/>
        </w:rPr>
      </w:pPr>
      <w:r w:rsidRPr="00D12895">
        <w:rPr>
          <w:rFonts w:eastAsia="MS Mincho"/>
          <w:b/>
          <w:lang w:eastAsia="ja-JP"/>
        </w:rPr>
        <w:t>IPR</w:t>
      </w:r>
      <w:r w:rsidRPr="00D12895">
        <w:rPr>
          <w:rFonts w:eastAsia="MS Mincho"/>
          <w:lang w:eastAsia="ja-JP"/>
        </w:rPr>
        <w:t xml:space="preserve">: </w:t>
      </w:r>
      <w:hyperlink r:id="rId12" w:history="1">
        <w:r w:rsidRPr="00D12895">
          <w:rPr>
            <w:rStyle w:val="Hyperlink"/>
            <w:rFonts w:eastAsia="MS Mincho"/>
            <w:lang w:eastAsia="ja-JP"/>
          </w:rPr>
          <w:t>Option Patent &amp; Copyright: Reciprocal Royalty Free with Opt-Out to Reasonable And Non discriminatory (RAND)</w:t>
        </w:r>
      </w:hyperlink>
      <w:r w:rsidRPr="00D12895">
        <w:rPr>
          <w:rFonts w:eastAsia="MS Mincho"/>
          <w:lang w:eastAsia="ja-JP"/>
        </w:rPr>
        <w:t xml:space="preserve"> | </w:t>
      </w:r>
      <w:r w:rsidRPr="00D12895">
        <w:t xml:space="preserve">Copyright © </w:t>
      </w:r>
      <w:r w:rsidR="00080232" w:rsidRPr="00D12895">
        <w:t>201</w:t>
      </w:r>
      <w:r w:rsidR="00080232">
        <w:t>8</w:t>
      </w:r>
    </w:p>
    <w:p w14:paraId="1192DD79" w14:textId="77777777" w:rsidR="00F74DC7" w:rsidRPr="00D12895" w:rsidRDefault="00F74DC7">
      <w:pPr>
        <w:autoSpaceDE/>
        <w:autoSpaceDN/>
        <w:adjustRightInd/>
        <w:spacing w:after="0"/>
        <w:jc w:val="left"/>
        <w:rPr>
          <w:rFonts w:ascii="Arial" w:eastAsia="MS Mincho" w:hAnsi="Arial" w:cs="Arial"/>
          <w:b/>
          <w:bCs/>
          <w:kern w:val="24"/>
          <w:lang w:eastAsia="ja-JP"/>
        </w:rPr>
      </w:pPr>
      <w:bookmarkStart w:id="14" w:name="_Toc243379787"/>
      <w:bookmarkStart w:id="15" w:name="_Toc244482062"/>
      <w:bookmarkStart w:id="16" w:name="_Toc260291045"/>
      <w:bookmarkEnd w:id="1"/>
      <w:bookmarkEnd w:id="2"/>
      <w:bookmarkEnd w:id="3"/>
      <w:bookmarkEnd w:id="4"/>
      <w:bookmarkEnd w:id="11"/>
      <w:r w:rsidRPr="00D12895">
        <w:br w:type="page"/>
      </w:r>
    </w:p>
    <w:p w14:paraId="5F2B95ED" w14:textId="77777777" w:rsidR="00080232" w:rsidRDefault="009A26A9">
      <w:pPr>
        <w:pStyle w:val="TOC1"/>
        <w:rPr>
          <w:rFonts w:asciiTheme="minorHAnsi" w:eastAsiaTheme="minorEastAsia" w:hAnsiTheme="minorHAnsi" w:cstheme="minorBidi"/>
          <w:b w:val="0"/>
          <w:color w:val="auto"/>
          <w:kern w:val="0"/>
          <w:sz w:val="22"/>
          <w:szCs w:val="22"/>
        </w:rPr>
      </w:pPr>
      <w:bookmarkStart w:id="17" w:name="_Toc321781551"/>
      <w:bookmarkStart w:id="18" w:name="_Toc505092491"/>
      <w:r w:rsidRPr="00D12895">
        <w:lastRenderedPageBreak/>
        <w:t>Contents</w:t>
      </w:r>
      <w:bookmarkEnd w:id="14"/>
      <w:bookmarkEnd w:id="15"/>
      <w:bookmarkEnd w:id="16"/>
      <w:bookmarkEnd w:id="17"/>
      <w:bookmarkEnd w:id="18"/>
      <w:r w:rsidR="00AC5C2C" w:rsidRPr="00D12895">
        <w:br/>
      </w:r>
      <w:r w:rsidR="006C6A9A" w:rsidRPr="00D12895">
        <w:rPr>
          <w:rFonts w:ascii="Arial" w:eastAsia="MS Mincho" w:hAnsi="Arial" w:cs="Arial"/>
          <w:bCs/>
          <w:lang w:eastAsia="ja-JP"/>
        </w:rPr>
        <w:fldChar w:fldCharType="begin"/>
      </w:r>
      <w:r w:rsidR="006C6A9A" w:rsidRPr="00D12895">
        <w:instrText xml:space="preserve"> TOC \o "1-3" \h \z \u </w:instrText>
      </w:r>
      <w:r w:rsidR="006C6A9A" w:rsidRPr="00D12895">
        <w:rPr>
          <w:rFonts w:ascii="Arial" w:eastAsia="MS Mincho" w:hAnsi="Arial" w:cs="Arial"/>
          <w:bCs/>
          <w:lang w:eastAsia="ja-JP"/>
        </w:rPr>
        <w:fldChar w:fldCharType="separate"/>
      </w:r>
      <w:hyperlink w:anchor="_Toc505092490" w:history="1">
        <w:r w:rsidR="00080232" w:rsidRPr="00310033">
          <w:rPr>
            <w:rStyle w:val="Hyperlink"/>
          </w:rPr>
          <w:t>Notice</w:t>
        </w:r>
        <w:r w:rsidR="00080232">
          <w:rPr>
            <w:webHidden/>
          </w:rPr>
          <w:tab/>
        </w:r>
        <w:r w:rsidR="00080232">
          <w:rPr>
            <w:webHidden/>
          </w:rPr>
          <w:fldChar w:fldCharType="begin"/>
        </w:r>
        <w:r w:rsidR="00080232">
          <w:rPr>
            <w:webHidden/>
          </w:rPr>
          <w:instrText xml:space="preserve"> PAGEREF _Toc505092490 \h </w:instrText>
        </w:r>
        <w:r w:rsidR="00080232">
          <w:rPr>
            <w:webHidden/>
          </w:rPr>
        </w:r>
        <w:r w:rsidR="00080232">
          <w:rPr>
            <w:webHidden/>
          </w:rPr>
          <w:fldChar w:fldCharType="separate"/>
        </w:r>
        <w:r w:rsidR="00080232">
          <w:rPr>
            <w:webHidden/>
          </w:rPr>
          <w:t>2</w:t>
        </w:r>
        <w:r w:rsidR="00080232">
          <w:rPr>
            <w:webHidden/>
          </w:rPr>
          <w:fldChar w:fldCharType="end"/>
        </w:r>
      </w:hyperlink>
    </w:p>
    <w:p w14:paraId="26239AD0" w14:textId="77777777" w:rsidR="00080232" w:rsidRDefault="00F461A5">
      <w:pPr>
        <w:pStyle w:val="TOC1"/>
        <w:rPr>
          <w:rFonts w:asciiTheme="minorHAnsi" w:eastAsiaTheme="minorEastAsia" w:hAnsiTheme="minorHAnsi" w:cstheme="minorBidi"/>
          <w:b w:val="0"/>
          <w:color w:val="auto"/>
          <w:kern w:val="0"/>
          <w:sz w:val="22"/>
          <w:szCs w:val="22"/>
        </w:rPr>
      </w:pPr>
      <w:hyperlink w:anchor="_Toc505092491" w:history="1">
        <w:r w:rsidR="00080232" w:rsidRPr="00310033">
          <w:rPr>
            <w:rStyle w:val="Hyperlink"/>
          </w:rPr>
          <w:t>Contents</w:t>
        </w:r>
        <w:r w:rsidR="00080232">
          <w:rPr>
            <w:webHidden/>
          </w:rPr>
          <w:tab/>
        </w:r>
        <w:r w:rsidR="00080232">
          <w:rPr>
            <w:webHidden/>
          </w:rPr>
          <w:fldChar w:fldCharType="begin"/>
        </w:r>
        <w:r w:rsidR="00080232">
          <w:rPr>
            <w:webHidden/>
          </w:rPr>
          <w:instrText xml:space="preserve"> PAGEREF _Toc505092491 \h </w:instrText>
        </w:r>
        <w:r w:rsidR="00080232">
          <w:rPr>
            <w:webHidden/>
          </w:rPr>
        </w:r>
        <w:r w:rsidR="00080232">
          <w:rPr>
            <w:webHidden/>
          </w:rPr>
          <w:fldChar w:fldCharType="separate"/>
        </w:r>
        <w:r w:rsidR="00080232">
          <w:rPr>
            <w:webHidden/>
          </w:rPr>
          <w:t>3</w:t>
        </w:r>
        <w:r w:rsidR="00080232">
          <w:rPr>
            <w:webHidden/>
          </w:rPr>
          <w:fldChar w:fldCharType="end"/>
        </w:r>
      </w:hyperlink>
    </w:p>
    <w:p w14:paraId="3EF6DEC0" w14:textId="77777777" w:rsidR="00080232" w:rsidRDefault="00F461A5">
      <w:pPr>
        <w:pStyle w:val="TOC1"/>
        <w:rPr>
          <w:rFonts w:asciiTheme="minorHAnsi" w:eastAsiaTheme="minorEastAsia" w:hAnsiTheme="minorHAnsi" w:cstheme="minorBidi"/>
          <w:b w:val="0"/>
          <w:color w:val="auto"/>
          <w:kern w:val="0"/>
          <w:sz w:val="22"/>
          <w:szCs w:val="22"/>
        </w:rPr>
      </w:pPr>
      <w:hyperlink w:anchor="_Toc505092492" w:history="1">
        <w:r w:rsidR="00080232" w:rsidRPr="00310033">
          <w:rPr>
            <w:rStyle w:val="Hyperlink"/>
          </w:rPr>
          <w:t>1</w:t>
        </w:r>
        <w:r w:rsidR="00080232">
          <w:rPr>
            <w:rFonts w:asciiTheme="minorHAnsi" w:eastAsiaTheme="minorEastAsia" w:hAnsiTheme="minorHAnsi" w:cstheme="minorBidi"/>
            <w:b w:val="0"/>
            <w:color w:val="auto"/>
            <w:kern w:val="0"/>
            <w:sz w:val="22"/>
            <w:szCs w:val="22"/>
          </w:rPr>
          <w:tab/>
        </w:r>
        <w:r w:rsidR="00080232" w:rsidRPr="00310033">
          <w:rPr>
            <w:rStyle w:val="Hyperlink"/>
          </w:rPr>
          <w:t>INTRODUCTION</w:t>
        </w:r>
        <w:r w:rsidR="00080232">
          <w:rPr>
            <w:webHidden/>
          </w:rPr>
          <w:tab/>
        </w:r>
        <w:r w:rsidR="00080232">
          <w:rPr>
            <w:webHidden/>
          </w:rPr>
          <w:fldChar w:fldCharType="begin"/>
        </w:r>
        <w:r w:rsidR="00080232">
          <w:rPr>
            <w:webHidden/>
          </w:rPr>
          <w:instrText xml:space="preserve"> PAGEREF _Toc505092492 \h </w:instrText>
        </w:r>
        <w:r w:rsidR="00080232">
          <w:rPr>
            <w:webHidden/>
          </w:rPr>
        </w:r>
        <w:r w:rsidR="00080232">
          <w:rPr>
            <w:webHidden/>
          </w:rPr>
          <w:fldChar w:fldCharType="separate"/>
        </w:r>
        <w:r w:rsidR="00080232">
          <w:rPr>
            <w:webHidden/>
          </w:rPr>
          <w:t>4</w:t>
        </w:r>
        <w:r w:rsidR="00080232">
          <w:rPr>
            <w:webHidden/>
          </w:rPr>
          <w:fldChar w:fldCharType="end"/>
        </w:r>
      </w:hyperlink>
    </w:p>
    <w:p w14:paraId="1FCC46A4" w14:textId="77777777" w:rsidR="00080232" w:rsidRDefault="00F461A5">
      <w:pPr>
        <w:pStyle w:val="TOC2"/>
        <w:rPr>
          <w:rFonts w:asciiTheme="minorHAnsi" w:eastAsiaTheme="minorEastAsia" w:hAnsiTheme="minorHAnsi" w:cstheme="minorBidi"/>
          <w:noProof/>
          <w:color w:val="auto"/>
          <w:kern w:val="0"/>
          <w:sz w:val="22"/>
          <w:szCs w:val="22"/>
        </w:rPr>
      </w:pPr>
      <w:hyperlink w:anchor="_Toc505092493" w:history="1">
        <w:r w:rsidR="00080232" w:rsidRPr="00310033">
          <w:rPr>
            <w:rStyle w:val="Hyperlink"/>
            <w:rFonts w:ascii="Arial Bold" w:hAnsi="Arial Bold"/>
            <w:noProof/>
          </w:rPr>
          <w:t>1.1</w:t>
        </w:r>
        <w:r w:rsidR="00080232">
          <w:rPr>
            <w:rFonts w:asciiTheme="minorHAnsi" w:eastAsiaTheme="minorEastAsia" w:hAnsiTheme="minorHAnsi" w:cstheme="minorBidi"/>
            <w:noProof/>
            <w:color w:val="auto"/>
            <w:kern w:val="0"/>
            <w:sz w:val="22"/>
            <w:szCs w:val="22"/>
          </w:rPr>
          <w:tab/>
        </w:r>
        <w:r w:rsidR="00080232" w:rsidRPr="00310033">
          <w:rPr>
            <w:rStyle w:val="Hyperlink"/>
            <w:noProof/>
          </w:rPr>
          <w:t>Purpose</w:t>
        </w:r>
        <w:r w:rsidR="00080232">
          <w:rPr>
            <w:noProof/>
            <w:webHidden/>
          </w:rPr>
          <w:tab/>
        </w:r>
        <w:r w:rsidR="00080232">
          <w:rPr>
            <w:noProof/>
            <w:webHidden/>
          </w:rPr>
          <w:fldChar w:fldCharType="begin"/>
        </w:r>
        <w:r w:rsidR="00080232">
          <w:rPr>
            <w:noProof/>
            <w:webHidden/>
          </w:rPr>
          <w:instrText xml:space="preserve"> PAGEREF _Toc505092493 \h </w:instrText>
        </w:r>
        <w:r w:rsidR="00080232">
          <w:rPr>
            <w:noProof/>
            <w:webHidden/>
          </w:rPr>
        </w:r>
        <w:r w:rsidR="00080232">
          <w:rPr>
            <w:noProof/>
            <w:webHidden/>
          </w:rPr>
          <w:fldChar w:fldCharType="separate"/>
        </w:r>
        <w:r w:rsidR="00080232">
          <w:rPr>
            <w:noProof/>
            <w:webHidden/>
          </w:rPr>
          <w:t>4</w:t>
        </w:r>
        <w:r w:rsidR="00080232">
          <w:rPr>
            <w:noProof/>
            <w:webHidden/>
          </w:rPr>
          <w:fldChar w:fldCharType="end"/>
        </w:r>
      </w:hyperlink>
    </w:p>
    <w:p w14:paraId="7ABEC1B7" w14:textId="77777777" w:rsidR="00080232" w:rsidRDefault="00F461A5">
      <w:pPr>
        <w:pStyle w:val="TOC2"/>
        <w:rPr>
          <w:rFonts w:asciiTheme="minorHAnsi" w:eastAsiaTheme="minorEastAsia" w:hAnsiTheme="minorHAnsi" w:cstheme="minorBidi"/>
          <w:noProof/>
          <w:color w:val="auto"/>
          <w:kern w:val="0"/>
          <w:sz w:val="22"/>
          <w:szCs w:val="22"/>
        </w:rPr>
      </w:pPr>
      <w:hyperlink w:anchor="_Toc505092494" w:history="1">
        <w:r w:rsidR="00080232" w:rsidRPr="00310033">
          <w:rPr>
            <w:rStyle w:val="Hyperlink"/>
            <w:rFonts w:ascii="Arial Bold" w:hAnsi="Arial Bold"/>
            <w:noProof/>
          </w:rPr>
          <w:t>1.2</w:t>
        </w:r>
        <w:r w:rsidR="00080232">
          <w:rPr>
            <w:rFonts w:asciiTheme="minorHAnsi" w:eastAsiaTheme="minorEastAsia" w:hAnsiTheme="minorHAnsi" w:cstheme="minorBidi"/>
            <w:noProof/>
            <w:color w:val="auto"/>
            <w:kern w:val="0"/>
            <w:sz w:val="22"/>
            <w:szCs w:val="22"/>
          </w:rPr>
          <w:tab/>
        </w:r>
        <w:r w:rsidR="00080232" w:rsidRPr="00310033">
          <w:rPr>
            <w:rStyle w:val="Hyperlink"/>
            <w:noProof/>
          </w:rPr>
          <w:t>Readership</w:t>
        </w:r>
        <w:r w:rsidR="00080232">
          <w:rPr>
            <w:noProof/>
            <w:webHidden/>
          </w:rPr>
          <w:tab/>
        </w:r>
        <w:r w:rsidR="00080232">
          <w:rPr>
            <w:noProof/>
            <w:webHidden/>
          </w:rPr>
          <w:fldChar w:fldCharType="begin"/>
        </w:r>
        <w:r w:rsidR="00080232">
          <w:rPr>
            <w:noProof/>
            <w:webHidden/>
          </w:rPr>
          <w:instrText xml:space="preserve"> PAGEREF _Toc505092494 \h </w:instrText>
        </w:r>
        <w:r w:rsidR="00080232">
          <w:rPr>
            <w:noProof/>
            <w:webHidden/>
          </w:rPr>
        </w:r>
        <w:r w:rsidR="00080232">
          <w:rPr>
            <w:noProof/>
            <w:webHidden/>
          </w:rPr>
          <w:fldChar w:fldCharType="separate"/>
        </w:r>
        <w:r w:rsidR="00080232">
          <w:rPr>
            <w:noProof/>
            <w:webHidden/>
          </w:rPr>
          <w:t>4</w:t>
        </w:r>
        <w:r w:rsidR="00080232">
          <w:rPr>
            <w:noProof/>
            <w:webHidden/>
          </w:rPr>
          <w:fldChar w:fldCharType="end"/>
        </w:r>
      </w:hyperlink>
    </w:p>
    <w:p w14:paraId="031A75E8" w14:textId="77777777" w:rsidR="00080232" w:rsidRDefault="00F461A5">
      <w:pPr>
        <w:pStyle w:val="TOC2"/>
        <w:rPr>
          <w:rFonts w:asciiTheme="minorHAnsi" w:eastAsiaTheme="minorEastAsia" w:hAnsiTheme="minorHAnsi" w:cstheme="minorBidi"/>
          <w:noProof/>
          <w:color w:val="auto"/>
          <w:kern w:val="0"/>
          <w:sz w:val="22"/>
          <w:szCs w:val="22"/>
        </w:rPr>
      </w:pPr>
      <w:hyperlink w:anchor="_Toc505092495" w:history="1">
        <w:r w:rsidR="00080232" w:rsidRPr="00310033">
          <w:rPr>
            <w:rStyle w:val="Hyperlink"/>
            <w:rFonts w:ascii="Arial Bold" w:hAnsi="Arial Bold"/>
            <w:noProof/>
          </w:rPr>
          <w:t>1.3</w:t>
        </w:r>
        <w:r w:rsidR="00080232">
          <w:rPr>
            <w:rFonts w:asciiTheme="minorHAnsi" w:eastAsiaTheme="minorEastAsia" w:hAnsiTheme="minorHAnsi" w:cstheme="minorBidi"/>
            <w:noProof/>
            <w:color w:val="auto"/>
            <w:kern w:val="0"/>
            <w:sz w:val="22"/>
            <w:szCs w:val="22"/>
          </w:rPr>
          <w:tab/>
        </w:r>
        <w:r w:rsidR="00080232" w:rsidRPr="00310033">
          <w:rPr>
            <w:rStyle w:val="Hyperlink"/>
            <w:noProof/>
          </w:rPr>
          <w:t>Overview &amp; Preparation</w:t>
        </w:r>
        <w:r w:rsidR="00080232">
          <w:rPr>
            <w:noProof/>
            <w:webHidden/>
          </w:rPr>
          <w:tab/>
        </w:r>
        <w:r w:rsidR="00080232">
          <w:rPr>
            <w:noProof/>
            <w:webHidden/>
          </w:rPr>
          <w:fldChar w:fldCharType="begin"/>
        </w:r>
        <w:r w:rsidR="00080232">
          <w:rPr>
            <w:noProof/>
            <w:webHidden/>
          </w:rPr>
          <w:instrText xml:space="preserve"> PAGEREF _Toc505092495 \h </w:instrText>
        </w:r>
        <w:r w:rsidR="00080232">
          <w:rPr>
            <w:noProof/>
            <w:webHidden/>
          </w:rPr>
        </w:r>
        <w:r w:rsidR="00080232">
          <w:rPr>
            <w:noProof/>
            <w:webHidden/>
          </w:rPr>
          <w:fldChar w:fldCharType="separate"/>
        </w:r>
        <w:r w:rsidR="00080232">
          <w:rPr>
            <w:noProof/>
            <w:webHidden/>
          </w:rPr>
          <w:t>4</w:t>
        </w:r>
        <w:r w:rsidR="00080232">
          <w:rPr>
            <w:noProof/>
            <w:webHidden/>
          </w:rPr>
          <w:fldChar w:fldCharType="end"/>
        </w:r>
      </w:hyperlink>
    </w:p>
    <w:p w14:paraId="2929F277" w14:textId="77777777" w:rsidR="00080232" w:rsidRDefault="00F461A5">
      <w:pPr>
        <w:pStyle w:val="TOC2"/>
        <w:rPr>
          <w:rFonts w:asciiTheme="minorHAnsi" w:eastAsiaTheme="minorEastAsia" w:hAnsiTheme="minorHAnsi" w:cstheme="minorBidi"/>
          <w:noProof/>
          <w:color w:val="auto"/>
          <w:kern w:val="0"/>
          <w:sz w:val="22"/>
          <w:szCs w:val="22"/>
        </w:rPr>
      </w:pPr>
      <w:hyperlink w:anchor="_Toc505092496" w:history="1">
        <w:r w:rsidR="00080232" w:rsidRPr="00310033">
          <w:rPr>
            <w:rStyle w:val="Hyperlink"/>
            <w:rFonts w:ascii="Arial Bold" w:hAnsi="Arial Bold"/>
            <w:noProof/>
          </w:rPr>
          <w:t>1.4</w:t>
        </w:r>
        <w:r w:rsidR="00080232">
          <w:rPr>
            <w:rFonts w:asciiTheme="minorHAnsi" w:eastAsiaTheme="minorEastAsia" w:hAnsiTheme="minorHAnsi" w:cstheme="minorBidi"/>
            <w:noProof/>
            <w:color w:val="auto"/>
            <w:kern w:val="0"/>
            <w:sz w:val="22"/>
            <w:szCs w:val="22"/>
          </w:rPr>
          <w:tab/>
        </w:r>
        <w:r w:rsidR="00080232" w:rsidRPr="00310033">
          <w:rPr>
            <w:rStyle w:val="Hyperlink"/>
            <w:noProof/>
          </w:rPr>
          <w:t>Changes in this revision</w:t>
        </w:r>
        <w:r w:rsidR="00080232">
          <w:rPr>
            <w:noProof/>
            <w:webHidden/>
          </w:rPr>
          <w:tab/>
        </w:r>
        <w:r w:rsidR="00080232">
          <w:rPr>
            <w:noProof/>
            <w:webHidden/>
          </w:rPr>
          <w:fldChar w:fldCharType="begin"/>
        </w:r>
        <w:r w:rsidR="00080232">
          <w:rPr>
            <w:noProof/>
            <w:webHidden/>
          </w:rPr>
          <w:instrText xml:space="preserve"> PAGEREF _Toc505092496 \h </w:instrText>
        </w:r>
        <w:r w:rsidR="00080232">
          <w:rPr>
            <w:noProof/>
            <w:webHidden/>
          </w:rPr>
        </w:r>
        <w:r w:rsidR="00080232">
          <w:rPr>
            <w:noProof/>
            <w:webHidden/>
          </w:rPr>
          <w:fldChar w:fldCharType="separate"/>
        </w:r>
        <w:r w:rsidR="00080232">
          <w:rPr>
            <w:noProof/>
            <w:webHidden/>
          </w:rPr>
          <w:t>4</w:t>
        </w:r>
        <w:r w:rsidR="00080232">
          <w:rPr>
            <w:noProof/>
            <w:webHidden/>
          </w:rPr>
          <w:fldChar w:fldCharType="end"/>
        </w:r>
      </w:hyperlink>
    </w:p>
    <w:p w14:paraId="49478704" w14:textId="77777777" w:rsidR="00080232" w:rsidRDefault="00F461A5">
      <w:pPr>
        <w:pStyle w:val="TOC1"/>
        <w:rPr>
          <w:rFonts w:asciiTheme="minorHAnsi" w:eastAsiaTheme="minorEastAsia" w:hAnsiTheme="minorHAnsi" w:cstheme="minorBidi"/>
          <w:b w:val="0"/>
          <w:color w:val="auto"/>
          <w:kern w:val="0"/>
          <w:sz w:val="22"/>
          <w:szCs w:val="22"/>
        </w:rPr>
      </w:pPr>
      <w:hyperlink w:anchor="_Toc505092497" w:history="1">
        <w:r w:rsidR="00080232" w:rsidRPr="00310033">
          <w:rPr>
            <w:rStyle w:val="Hyperlink"/>
          </w:rPr>
          <w:t>Annex A:  Identified Minor Non-Conformities</w:t>
        </w:r>
        <w:r w:rsidR="00080232">
          <w:rPr>
            <w:webHidden/>
          </w:rPr>
          <w:tab/>
        </w:r>
        <w:r w:rsidR="00080232">
          <w:rPr>
            <w:webHidden/>
          </w:rPr>
          <w:fldChar w:fldCharType="begin"/>
        </w:r>
        <w:r w:rsidR="00080232">
          <w:rPr>
            <w:webHidden/>
          </w:rPr>
          <w:instrText xml:space="preserve"> PAGEREF _Toc505092497 \h </w:instrText>
        </w:r>
        <w:r w:rsidR="00080232">
          <w:rPr>
            <w:webHidden/>
          </w:rPr>
        </w:r>
        <w:r w:rsidR="00080232">
          <w:rPr>
            <w:webHidden/>
          </w:rPr>
          <w:fldChar w:fldCharType="separate"/>
        </w:r>
        <w:r w:rsidR="00080232">
          <w:rPr>
            <w:webHidden/>
          </w:rPr>
          <w:t>9</w:t>
        </w:r>
        <w:r w:rsidR="00080232">
          <w:rPr>
            <w:webHidden/>
          </w:rPr>
          <w:fldChar w:fldCharType="end"/>
        </w:r>
      </w:hyperlink>
    </w:p>
    <w:p w14:paraId="58136F61" w14:textId="77777777" w:rsidR="00080232" w:rsidRDefault="00F461A5">
      <w:pPr>
        <w:pStyle w:val="TOC1"/>
        <w:rPr>
          <w:rFonts w:asciiTheme="minorHAnsi" w:eastAsiaTheme="minorEastAsia" w:hAnsiTheme="minorHAnsi" w:cstheme="minorBidi"/>
          <w:b w:val="0"/>
          <w:color w:val="auto"/>
          <w:kern w:val="0"/>
          <w:sz w:val="22"/>
          <w:szCs w:val="22"/>
        </w:rPr>
      </w:pPr>
      <w:hyperlink w:anchor="_Toc505092498" w:history="1">
        <w:r w:rsidR="00080232" w:rsidRPr="00310033">
          <w:rPr>
            <w:rStyle w:val="Hyperlink"/>
          </w:rPr>
          <w:t>Annex B:  Remediation of Prior Non-Conformities</w:t>
        </w:r>
        <w:r w:rsidR="00080232">
          <w:rPr>
            <w:webHidden/>
          </w:rPr>
          <w:tab/>
        </w:r>
        <w:r w:rsidR="00080232">
          <w:rPr>
            <w:webHidden/>
          </w:rPr>
          <w:fldChar w:fldCharType="begin"/>
        </w:r>
        <w:r w:rsidR="00080232">
          <w:rPr>
            <w:webHidden/>
          </w:rPr>
          <w:instrText xml:space="preserve"> PAGEREF _Toc505092498 \h </w:instrText>
        </w:r>
        <w:r w:rsidR="00080232">
          <w:rPr>
            <w:webHidden/>
          </w:rPr>
        </w:r>
        <w:r w:rsidR="00080232">
          <w:rPr>
            <w:webHidden/>
          </w:rPr>
          <w:fldChar w:fldCharType="separate"/>
        </w:r>
        <w:r w:rsidR="00080232">
          <w:rPr>
            <w:webHidden/>
          </w:rPr>
          <w:t>10</w:t>
        </w:r>
        <w:r w:rsidR="00080232">
          <w:rPr>
            <w:webHidden/>
          </w:rPr>
          <w:fldChar w:fldCharType="end"/>
        </w:r>
      </w:hyperlink>
    </w:p>
    <w:p w14:paraId="7CA4CEA7" w14:textId="77777777" w:rsidR="00080232" w:rsidRDefault="00F461A5">
      <w:pPr>
        <w:pStyle w:val="TOC1"/>
        <w:rPr>
          <w:rFonts w:asciiTheme="minorHAnsi" w:eastAsiaTheme="minorEastAsia" w:hAnsiTheme="minorHAnsi" w:cstheme="minorBidi"/>
          <w:b w:val="0"/>
          <w:color w:val="auto"/>
          <w:kern w:val="0"/>
          <w:sz w:val="22"/>
          <w:szCs w:val="22"/>
        </w:rPr>
      </w:pPr>
      <w:hyperlink w:anchor="_Toc505092499" w:history="1">
        <w:r w:rsidR="00080232" w:rsidRPr="00310033">
          <w:rPr>
            <w:rStyle w:val="Hyperlink"/>
          </w:rPr>
          <w:t>Annex C:  Assessor’s Note &amp; Remarks</w:t>
        </w:r>
        <w:r w:rsidR="00080232">
          <w:rPr>
            <w:webHidden/>
          </w:rPr>
          <w:tab/>
        </w:r>
        <w:r w:rsidR="00080232">
          <w:rPr>
            <w:webHidden/>
          </w:rPr>
          <w:fldChar w:fldCharType="begin"/>
        </w:r>
        <w:r w:rsidR="00080232">
          <w:rPr>
            <w:webHidden/>
          </w:rPr>
          <w:instrText xml:space="preserve"> PAGEREF _Toc505092499 \h </w:instrText>
        </w:r>
        <w:r w:rsidR="00080232">
          <w:rPr>
            <w:webHidden/>
          </w:rPr>
        </w:r>
        <w:r w:rsidR="00080232">
          <w:rPr>
            <w:webHidden/>
          </w:rPr>
          <w:fldChar w:fldCharType="separate"/>
        </w:r>
        <w:r w:rsidR="00080232">
          <w:rPr>
            <w:webHidden/>
          </w:rPr>
          <w:t>11</w:t>
        </w:r>
        <w:r w:rsidR="00080232">
          <w:rPr>
            <w:webHidden/>
          </w:rPr>
          <w:fldChar w:fldCharType="end"/>
        </w:r>
      </w:hyperlink>
    </w:p>
    <w:p w14:paraId="5998C484" w14:textId="77777777" w:rsidR="00080232" w:rsidRDefault="00F461A5">
      <w:pPr>
        <w:pStyle w:val="TOC1"/>
        <w:rPr>
          <w:rFonts w:asciiTheme="minorHAnsi" w:eastAsiaTheme="minorEastAsia" w:hAnsiTheme="minorHAnsi" w:cstheme="minorBidi"/>
          <w:b w:val="0"/>
          <w:color w:val="auto"/>
          <w:kern w:val="0"/>
          <w:sz w:val="22"/>
          <w:szCs w:val="22"/>
        </w:rPr>
      </w:pPr>
      <w:hyperlink w:anchor="_Toc505092500" w:history="1">
        <w:r w:rsidR="00080232" w:rsidRPr="00310033">
          <w:rPr>
            <w:rStyle w:val="Hyperlink"/>
          </w:rPr>
          <w:t>Annex D, etc.:  as required by the Assessor</w:t>
        </w:r>
        <w:r w:rsidR="00080232">
          <w:rPr>
            <w:webHidden/>
          </w:rPr>
          <w:tab/>
        </w:r>
        <w:r w:rsidR="00080232">
          <w:rPr>
            <w:webHidden/>
          </w:rPr>
          <w:fldChar w:fldCharType="begin"/>
        </w:r>
        <w:r w:rsidR="00080232">
          <w:rPr>
            <w:webHidden/>
          </w:rPr>
          <w:instrText xml:space="preserve"> PAGEREF _Toc505092500 \h </w:instrText>
        </w:r>
        <w:r w:rsidR="00080232">
          <w:rPr>
            <w:webHidden/>
          </w:rPr>
        </w:r>
        <w:r w:rsidR="00080232">
          <w:rPr>
            <w:webHidden/>
          </w:rPr>
          <w:fldChar w:fldCharType="separate"/>
        </w:r>
        <w:r w:rsidR="00080232">
          <w:rPr>
            <w:webHidden/>
          </w:rPr>
          <w:t>12</w:t>
        </w:r>
        <w:r w:rsidR="00080232">
          <w:rPr>
            <w:webHidden/>
          </w:rPr>
          <w:fldChar w:fldCharType="end"/>
        </w:r>
      </w:hyperlink>
    </w:p>
    <w:p w14:paraId="3886120F" w14:textId="77777777" w:rsidR="00A47CF5" w:rsidRPr="00D12895" w:rsidRDefault="006C6A9A" w:rsidP="006A6AFA">
      <w:pPr>
        <w:pStyle w:val="BodyTextH2"/>
        <w:rPr>
          <w:rFonts w:ascii="Arial" w:hAnsi="Arial" w:cs="Arial"/>
        </w:rPr>
      </w:pPr>
      <w:r w:rsidRPr="00D12895">
        <w:fldChar w:fldCharType="end"/>
      </w:r>
    </w:p>
    <w:p w14:paraId="0A6F9641" w14:textId="77777777" w:rsidR="009A26A9" w:rsidRPr="00D12895" w:rsidRDefault="00691669" w:rsidP="00FD0FC4">
      <w:pPr>
        <w:pStyle w:val="Heading1"/>
      </w:pPr>
      <w:bookmarkStart w:id="19" w:name="Section1"/>
      <w:bookmarkStart w:id="20" w:name="_Toc505092492"/>
      <w:bookmarkStart w:id="21" w:name="_Ref90429168"/>
      <w:bookmarkStart w:id="22" w:name="_Ref90430045"/>
      <w:bookmarkEnd w:id="19"/>
      <w:r w:rsidRPr="00D12895">
        <w:lastRenderedPageBreak/>
        <w:t>INTRODUCTION</w:t>
      </w:r>
      <w:bookmarkEnd w:id="20"/>
    </w:p>
    <w:p w14:paraId="01B168B0" w14:textId="77777777" w:rsidR="00316F90" w:rsidRPr="00D12895" w:rsidRDefault="00AF073E" w:rsidP="00FD0FC4">
      <w:pPr>
        <w:pStyle w:val="Heading2"/>
        <w:rPr>
          <w:rFonts w:ascii="Times New Roman" w:hAnsi="Times New Roman"/>
          <w:sz w:val="23"/>
          <w:szCs w:val="23"/>
        </w:rPr>
      </w:pPr>
      <w:bookmarkStart w:id="23" w:name="Section2"/>
      <w:bookmarkStart w:id="24" w:name="table21"/>
      <w:bookmarkStart w:id="25" w:name="table22"/>
      <w:bookmarkStart w:id="26" w:name="Section3"/>
      <w:bookmarkStart w:id="27" w:name="_Common_Organizational_Service"/>
      <w:bookmarkStart w:id="28" w:name="_Toc92878721"/>
      <w:bookmarkStart w:id="29" w:name="_Toc92878723"/>
      <w:bookmarkStart w:id="30" w:name="_Toc92878727"/>
      <w:bookmarkStart w:id="31" w:name="_Toc92878729"/>
      <w:bookmarkStart w:id="32" w:name="_Toc92878735"/>
      <w:bookmarkStart w:id="33" w:name="_Toc92878744"/>
      <w:bookmarkStart w:id="34" w:name="_Toc92878753"/>
      <w:bookmarkStart w:id="35" w:name="_Toc92878762"/>
      <w:bookmarkStart w:id="36" w:name="_Identity_Proofing_Service"/>
      <w:bookmarkStart w:id="37" w:name="_Policy_"/>
      <w:bookmarkStart w:id="38" w:name="_In-Person_Public_Verification_"/>
      <w:bookmarkStart w:id="39" w:name="_Remote_Public_Verification_"/>
      <w:bookmarkStart w:id="40" w:name="_Secondary_Verification_"/>
      <w:bookmarkStart w:id="41" w:name="_Policy"/>
      <w:bookmarkStart w:id="42" w:name="_In-Person_Public_Verification"/>
      <w:bookmarkStart w:id="43" w:name="_Remote_Public_Verification"/>
      <w:bookmarkStart w:id="44" w:name="_Current_Relationship_Verification"/>
      <w:bookmarkStart w:id="45" w:name="_Affiliation_Verification"/>
      <w:bookmarkStart w:id="46" w:name="_Secondary_Verification"/>
      <w:bookmarkStart w:id="47" w:name="_Verification_Records"/>
      <w:bookmarkStart w:id="48" w:name="_Policy_1"/>
      <w:bookmarkStart w:id="49" w:name="_In-Person_Public_Verification_1"/>
      <w:bookmarkStart w:id="50" w:name="_Remote_Public_Verification_1"/>
      <w:bookmarkStart w:id="51" w:name="_Affiliation_Verification_1"/>
      <w:bookmarkStart w:id="52" w:name="_Secondary_Verification_1"/>
      <w:bookmarkStart w:id="53" w:name="_Verification_Records_1"/>
      <w:bookmarkStart w:id="54" w:name="_Policy_2"/>
      <w:bookmarkStart w:id="55" w:name="_In-Person_Public_Verification_2"/>
      <w:bookmarkStart w:id="56" w:name="_Affiliation_Verification_2"/>
      <w:bookmarkStart w:id="57" w:name="_Secondary_Verification_2"/>
      <w:bookmarkStart w:id="58" w:name="_Verification_Records_2"/>
      <w:bookmarkStart w:id="59" w:name="_Credential_Management_Service"/>
      <w:bookmarkStart w:id="60" w:name="_Credential_Policy_and"/>
      <w:bookmarkStart w:id="61" w:name="_Security_Controls"/>
      <w:bookmarkStart w:id="62" w:name="_Storage_of_Long-term"/>
      <w:bookmarkStart w:id="63" w:name="_Subject_Options"/>
      <w:bookmarkStart w:id="64" w:name="_Credential_Policy_&amp;"/>
      <w:bookmarkStart w:id="65" w:name="_Security_Controls_1"/>
      <w:bookmarkStart w:id="66" w:name="_Storage_of_Long-term_1"/>
      <w:bookmarkStart w:id="67" w:name="_Subject_Options_1"/>
      <w:bookmarkStart w:id="68" w:name="_Credential_Policy_&amp;_1"/>
      <w:bookmarkStart w:id="69" w:name="_Security_Controls_2"/>
      <w:bookmarkStart w:id="70" w:name="_Storage_of_Long-term_2"/>
      <w:bookmarkStart w:id="71" w:name="_Security-relevant_Event_(Audit)"/>
      <w:bookmarkStart w:id="72" w:name="_Subject_options_2"/>
      <w:bookmarkStart w:id="73" w:name="_Certification_Policy_and"/>
      <w:bookmarkStart w:id="74" w:name="_Security_Controls_3"/>
      <w:bookmarkStart w:id="75" w:name="_Storage_of_Long-term_3"/>
      <w:bookmarkStart w:id="76" w:name="_Security-relevant_Event_(Audit)_1"/>
      <w:bookmarkStart w:id="77" w:name="_Subject_Options_3"/>
      <w:bookmarkStart w:id="78" w:name="_Identity_Proofing"/>
      <w:bookmarkStart w:id="79" w:name="_Credential_Creation"/>
      <w:bookmarkStart w:id="80" w:name="_Identity_Proofing_1"/>
      <w:bookmarkStart w:id="81" w:name="_Credential_Creation_1"/>
      <w:bookmarkStart w:id="82" w:name="_Credential_Delivery"/>
      <w:bookmarkStart w:id="83" w:name="_Toc50509249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D12895">
        <w:t>Purpose</w:t>
      </w:r>
      <w:bookmarkEnd w:id="83"/>
    </w:p>
    <w:p w14:paraId="0E09CFCD" w14:textId="29DD6965" w:rsidR="00DB4D0A" w:rsidRPr="00D12895" w:rsidRDefault="00A61FE9" w:rsidP="00DB4D0A">
      <w:r w:rsidRPr="00D12895">
        <w:t xml:space="preserve">This document </w:t>
      </w:r>
      <w:r w:rsidR="00DB4D0A" w:rsidRPr="00D12895">
        <w:t xml:space="preserve">is </w:t>
      </w:r>
      <w:r w:rsidR="00952B59" w:rsidRPr="00D12895">
        <w:t xml:space="preserve">intended </w:t>
      </w:r>
      <w:r w:rsidR="00DB4D0A" w:rsidRPr="00D12895">
        <w:t xml:space="preserve">to be used </w:t>
      </w:r>
      <w:r w:rsidR="00952B59" w:rsidRPr="00D12895">
        <w:t xml:space="preserve">by </w:t>
      </w:r>
      <w:r w:rsidR="00DB4D0A" w:rsidRPr="00D12895">
        <w:t>Kantara-Accredited Assessors when preparing their Kantara Assessor’s Report (KAR) addressing Service Assessments undertaken in accordance with the Assessor’s terms of Accreditation and the Kantara Assurance Assessment Scheme.</w:t>
      </w:r>
    </w:p>
    <w:p w14:paraId="24030F0D" w14:textId="3DCF19A0" w:rsidR="00316F90" w:rsidRPr="00D12895" w:rsidRDefault="00DB4D0A" w:rsidP="00316F90">
      <w:pPr>
        <w:pStyle w:val="Default"/>
        <w:spacing w:after="120"/>
        <w:rPr>
          <w:rFonts w:ascii="Times New Roman" w:hAnsi="Times New Roman" w:cs="Times New Roman"/>
        </w:rPr>
      </w:pPr>
      <w:r w:rsidRPr="00D12895">
        <w:rPr>
          <w:rFonts w:ascii="Times New Roman" w:hAnsi="Times New Roman" w:cs="Times New Roman"/>
        </w:rPr>
        <w:t>Use of</w:t>
      </w:r>
      <w:r w:rsidR="00AF073E" w:rsidRPr="00D12895">
        <w:rPr>
          <w:rFonts w:ascii="Times New Roman" w:hAnsi="Times New Roman" w:cs="Times New Roman"/>
        </w:rPr>
        <w:t xml:space="preserve"> this document is mandatory</w:t>
      </w:r>
      <w:r w:rsidR="00952B59" w:rsidRPr="00D12895">
        <w:rPr>
          <w:rFonts w:ascii="Times New Roman" w:hAnsi="Times New Roman" w:cs="Times New Roman"/>
        </w:rPr>
        <w:t>, per the Kantara Assurance Assessment Scheme</w:t>
      </w:r>
      <w:r w:rsidR="00AF073E" w:rsidRPr="00D12895">
        <w:rPr>
          <w:rFonts w:ascii="Times New Roman" w:hAnsi="Times New Roman" w:cs="Times New Roman"/>
        </w:rPr>
        <w:t>.</w:t>
      </w:r>
    </w:p>
    <w:p w14:paraId="24653D8A" w14:textId="77777777" w:rsidR="00316F90" w:rsidRPr="00D12895" w:rsidRDefault="00AF073E" w:rsidP="00FD0FC4">
      <w:pPr>
        <w:pStyle w:val="Heading2"/>
        <w:rPr>
          <w:rFonts w:ascii="Times New Roman" w:hAnsi="Times New Roman"/>
          <w:sz w:val="23"/>
          <w:szCs w:val="23"/>
        </w:rPr>
      </w:pPr>
      <w:bookmarkStart w:id="84" w:name="_Toc505092494"/>
      <w:r w:rsidRPr="00D12895">
        <w:t>Readership</w:t>
      </w:r>
      <w:bookmarkEnd w:id="84"/>
      <w:r w:rsidR="00316F90" w:rsidRPr="00D12895">
        <w:rPr>
          <w:rFonts w:ascii="Times New Roman" w:hAnsi="Times New Roman"/>
          <w:sz w:val="23"/>
          <w:szCs w:val="23"/>
        </w:rPr>
        <w:t xml:space="preserve"> </w:t>
      </w:r>
    </w:p>
    <w:p w14:paraId="5AF6AC7A" w14:textId="77777777" w:rsidR="0062258C" w:rsidRPr="00D12895" w:rsidRDefault="006C7D98" w:rsidP="006A6AFA">
      <w:r w:rsidRPr="00D12895">
        <w:t>This document is required reading for the following parties, whose awareness of it is a requirement of the Assurance Assessment Scheme:</w:t>
      </w:r>
    </w:p>
    <w:p w14:paraId="444399E3" w14:textId="574D2A84" w:rsidR="006C7D98" w:rsidRPr="00D12895" w:rsidRDefault="005B0630" w:rsidP="006A6AFA">
      <w:pPr>
        <w:numPr>
          <w:ilvl w:val="0"/>
          <w:numId w:val="14"/>
        </w:numPr>
      </w:pPr>
      <w:r w:rsidRPr="00D12895">
        <w:rPr>
          <w:b/>
        </w:rPr>
        <w:t>Kantara-Accredited</w:t>
      </w:r>
      <w:r w:rsidR="006C7D98" w:rsidRPr="00D12895">
        <w:rPr>
          <w:b/>
        </w:rPr>
        <w:t xml:space="preserve"> Assessors</w:t>
      </w:r>
      <w:r w:rsidR="007C49BF" w:rsidRPr="00D12895">
        <w:t xml:space="preserve"> who will be performing the Assessment of a </w:t>
      </w:r>
      <w:r w:rsidRPr="00D12895">
        <w:t>CSP</w:t>
      </w:r>
      <w:r w:rsidR="007C49BF" w:rsidRPr="00D12895">
        <w:t>, as defined by an S3A;</w:t>
      </w:r>
    </w:p>
    <w:p w14:paraId="707383EF" w14:textId="4664E345" w:rsidR="007C49BF" w:rsidRPr="00D12895" w:rsidRDefault="007C49BF" w:rsidP="006A6AFA">
      <w:pPr>
        <w:numPr>
          <w:ilvl w:val="0"/>
          <w:numId w:val="14"/>
        </w:numPr>
      </w:pPr>
      <w:r w:rsidRPr="00D12895">
        <w:rPr>
          <w:b/>
        </w:rPr>
        <w:t>CSPs</w:t>
      </w:r>
      <w:r w:rsidRPr="00D12895">
        <w:t xml:space="preserve"> who </w:t>
      </w:r>
      <w:r w:rsidR="005B0630" w:rsidRPr="00D12895">
        <w:t xml:space="preserve">wish </w:t>
      </w:r>
      <w:r w:rsidRPr="00D12895">
        <w:t xml:space="preserve">to have a Service submitted for an Assessment as the basis for seeking </w:t>
      </w:r>
      <w:r w:rsidR="00952B59" w:rsidRPr="00D12895">
        <w:t xml:space="preserve">a </w:t>
      </w:r>
      <w:r w:rsidRPr="00D12895">
        <w:t>Kantara Grant of Approval</w:t>
      </w:r>
      <w:r w:rsidR="00952B59" w:rsidRPr="00D12895">
        <w:t>, for either a Component Service or a Full Service;</w:t>
      </w:r>
    </w:p>
    <w:p w14:paraId="1A996C4D" w14:textId="77777777" w:rsidR="007C49BF" w:rsidRPr="00D12895" w:rsidRDefault="007C49BF" w:rsidP="006A6AFA">
      <w:pPr>
        <w:numPr>
          <w:ilvl w:val="0"/>
          <w:numId w:val="14"/>
        </w:numPr>
      </w:pPr>
      <w:r w:rsidRPr="00D12895">
        <w:rPr>
          <w:b/>
        </w:rPr>
        <w:t>Kantara Initiative’s representatives</w:t>
      </w:r>
      <w:r w:rsidRPr="00D12895">
        <w:t xml:space="preserve"> who are available to offer guidance during the Assessment and Approval processes. </w:t>
      </w:r>
    </w:p>
    <w:p w14:paraId="0ADC7ED9" w14:textId="77777777" w:rsidR="00D4203B" w:rsidRPr="00D12895" w:rsidRDefault="00D4203B" w:rsidP="00FD0FC4">
      <w:pPr>
        <w:pStyle w:val="Heading2"/>
      </w:pPr>
      <w:bookmarkStart w:id="85" w:name="_Toc505092495"/>
      <w:r w:rsidRPr="00D12895">
        <w:t>Overview &amp; Preparation</w:t>
      </w:r>
      <w:bookmarkEnd w:id="85"/>
    </w:p>
    <w:p w14:paraId="47FAF923" w14:textId="6DCCC297" w:rsidR="00D4203B" w:rsidRPr="00D12895" w:rsidRDefault="00D4203B" w:rsidP="006A6AFA">
      <w:r w:rsidRPr="00D12895">
        <w:t xml:space="preserve">The </w:t>
      </w:r>
      <w:r w:rsidRPr="00D12895">
        <w:rPr>
          <w:spacing w:val="-1"/>
        </w:rPr>
        <w:t>d</w:t>
      </w:r>
      <w:r w:rsidRPr="00D12895">
        <w:t>ocu</w:t>
      </w:r>
      <w:r w:rsidRPr="00D12895">
        <w:rPr>
          <w:spacing w:val="-2"/>
        </w:rPr>
        <w:t>m</w:t>
      </w:r>
      <w:r w:rsidRPr="00D12895">
        <w:t>ent p</w:t>
      </w:r>
      <w:r w:rsidRPr="00D12895">
        <w:rPr>
          <w:spacing w:val="-1"/>
        </w:rPr>
        <w:t>ro</w:t>
      </w:r>
      <w:r w:rsidRPr="00D12895">
        <w:t>vides a</w:t>
      </w:r>
      <w:r w:rsidRPr="00D12895">
        <w:rPr>
          <w:spacing w:val="-1"/>
        </w:rPr>
        <w:t xml:space="preserve"> f</w:t>
      </w:r>
      <w:r w:rsidRPr="00D12895">
        <w:t>r</w:t>
      </w:r>
      <w:r w:rsidRPr="00D12895">
        <w:rPr>
          <w:spacing w:val="-1"/>
        </w:rPr>
        <w:t>am</w:t>
      </w:r>
      <w:r w:rsidRPr="00D12895">
        <w:t>ewo</w:t>
      </w:r>
      <w:r w:rsidRPr="00D12895">
        <w:rPr>
          <w:spacing w:val="-1"/>
        </w:rPr>
        <w:t>r</w:t>
      </w:r>
      <w:r w:rsidRPr="00D12895">
        <w:t>k of se</w:t>
      </w:r>
      <w:r w:rsidRPr="00D12895">
        <w:rPr>
          <w:spacing w:val="-1"/>
        </w:rPr>
        <w:t>c</w:t>
      </w:r>
      <w:r w:rsidRPr="00D12895">
        <w:t xml:space="preserve">tions </w:t>
      </w:r>
      <w:r w:rsidRPr="00D12895">
        <w:rPr>
          <w:spacing w:val="-1"/>
        </w:rPr>
        <w:t>an</w:t>
      </w:r>
      <w:r w:rsidRPr="00D12895">
        <w:t xml:space="preserve">d </w:t>
      </w:r>
      <w:r w:rsidRPr="00D12895">
        <w:rPr>
          <w:spacing w:val="-1"/>
        </w:rPr>
        <w:t>s</w:t>
      </w:r>
      <w:r w:rsidRPr="00D12895">
        <w:t>u</w:t>
      </w:r>
      <w:r w:rsidRPr="00D12895">
        <w:rPr>
          <w:spacing w:val="-1"/>
        </w:rPr>
        <w:t>b-h</w:t>
      </w:r>
      <w:r w:rsidRPr="00D12895">
        <w:t>eadi</w:t>
      </w:r>
      <w:r w:rsidRPr="00D12895">
        <w:rPr>
          <w:spacing w:val="-1"/>
        </w:rPr>
        <w:t>n</w:t>
      </w:r>
      <w:r w:rsidRPr="00D12895">
        <w:t xml:space="preserve">gs </w:t>
      </w:r>
      <w:r w:rsidRPr="00D12895">
        <w:rPr>
          <w:spacing w:val="-2"/>
        </w:rPr>
        <w:t>t</w:t>
      </w:r>
      <w:r w:rsidRPr="00D12895">
        <w:t>oge</w:t>
      </w:r>
      <w:r w:rsidRPr="00D12895">
        <w:rPr>
          <w:spacing w:val="-2"/>
        </w:rPr>
        <w:t>t</w:t>
      </w:r>
      <w:r w:rsidRPr="00D12895">
        <w:rPr>
          <w:spacing w:val="-1"/>
        </w:rPr>
        <w:t>h</w:t>
      </w:r>
      <w:r w:rsidRPr="00D12895">
        <w:t>er with st</w:t>
      </w:r>
      <w:r w:rsidRPr="00D12895">
        <w:rPr>
          <w:spacing w:val="-1"/>
        </w:rPr>
        <w:t>a</w:t>
      </w:r>
      <w:r w:rsidRPr="00D12895">
        <w:t>nd</w:t>
      </w:r>
      <w:r w:rsidRPr="00D12895">
        <w:rPr>
          <w:spacing w:val="-1"/>
        </w:rPr>
        <w:t>a</w:t>
      </w:r>
      <w:r w:rsidRPr="00D12895">
        <w:t>rdiz</w:t>
      </w:r>
      <w:r w:rsidRPr="00D12895">
        <w:rPr>
          <w:spacing w:val="-1"/>
        </w:rPr>
        <w:t>e</w:t>
      </w:r>
      <w:r w:rsidRPr="00D12895">
        <w:t>d text.</w:t>
      </w:r>
      <w:r w:rsidRPr="00D12895">
        <w:rPr>
          <w:spacing w:val="49"/>
        </w:rPr>
        <w:t xml:space="preserve"> </w:t>
      </w:r>
      <w:r w:rsidRPr="00D12895">
        <w:t>Au</w:t>
      </w:r>
      <w:r w:rsidRPr="00D12895">
        <w:rPr>
          <w:spacing w:val="-2"/>
        </w:rPr>
        <w:t>t</w:t>
      </w:r>
      <w:r w:rsidRPr="00D12895">
        <w:t>hors</w:t>
      </w:r>
      <w:r w:rsidRPr="00D12895">
        <w:rPr>
          <w:spacing w:val="-1"/>
        </w:rPr>
        <w:t xml:space="preserve"> </w:t>
      </w:r>
      <w:r w:rsidRPr="00D12895">
        <w:t xml:space="preserve">of </w:t>
      </w:r>
      <w:r w:rsidR="00DB4D0A" w:rsidRPr="00D12895">
        <w:t>KARs</w:t>
      </w:r>
      <w:r w:rsidRPr="00D12895">
        <w:t xml:space="preserve"> are </w:t>
      </w:r>
      <w:r w:rsidR="00335AD4" w:rsidRPr="00D12895">
        <w:t>required</w:t>
      </w:r>
      <w:r w:rsidRPr="00D12895">
        <w:t xml:space="preserve"> </w:t>
      </w:r>
      <w:r w:rsidRPr="00D12895">
        <w:rPr>
          <w:spacing w:val="-2"/>
        </w:rPr>
        <w:t>t</w:t>
      </w:r>
      <w:r w:rsidRPr="00D12895">
        <w:t>o adopt</w:t>
      </w:r>
      <w:r w:rsidRPr="00D12895">
        <w:rPr>
          <w:spacing w:val="-1"/>
        </w:rPr>
        <w:t xml:space="preserve"> </w:t>
      </w:r>
      <w:r w:rsidRPr="00D12895">
        <w:t>the style, phrasing and terminology</w:t>
      </w:r>
      <w:r w:rsidRPr="00D12895">
        <w:rPr>
          <w:spacing w:val="-1"/>
        </w:rPr>
        <w:t xml:space="preserve"> </w:t>
      </w:r>
      <w:r w:rsidRPr="00D12895">
        <w:t xml:space="preserve">of this </w:t>
      </w:r>
      <w:r w:rsidRPr="00D12895">
        <w:rPr>
          <w:spacing w:val="-2"/>
        </w:rPr>
        <w:t>m</w:t>
      </w:r>
      <w:r w:rsidRPr="00D12895">
        <w:t>odel.</w:t>
      </w:r>
      <w:r w:rsidRPr="00D12895">
        <w:rPr>
          <w:spacing w:val="48"/>
        </w:rPr>
        <w:t xml:space="preserve"> </w:t>
      </w:r>
      <w:r w:rsidRPr="00D12895">
        <w:t>This</w:t>
      </w:r>
      <w:r w:rsidRPr="00D12895">
        <w:rPr>
          <w:spacing w:val="-1"/>
        </w:rPr>
        <w:t xml:space="preserve"> </w:t>
      </w:r>
      <w:r w:rsidRPr="00D12895">
        <w:t>will assist readers</w:t>
      </w:r>
      <w:r w:rsidR="00335AD4" w:rsidRPr="00D12895">
        <w:t xml:space="preserve"> </w:t>
      </w:r>
      <w:r w:rsidRPr="00D12895">
        <w:t>who have</w:t>
      </w:r>
      <w:r w:rsidRPr="00D12895">
        <w:rPr>
          <w:spacing w:val="-1"/>
        </w:rPr>
        <w:t xml:space="preserve"> </w:t>
      </w:r>
      <w:r w:rsidRPr="00D12895">
        <w:t>to deal</w:t>
      </w:r>
      <w:r w:rsidRPr="00D12895">
        <w:rPr>
          <w:spacing w:val="-1"/>
        </w:rPr>
        <w:t xml:space="preserve"> </w:t>
      </w:r>
      <w:r w:rsidRPr="00D12895">
        <w:t>w</w:t>
      </w:r>
      <w:r w:rsidRPr="00D12895">
        <w:rPr>
          <w:spacing w:val="-2"/>
        </w:rPr>
        <w:t>i</w:t>
      </w:r>
      <w:r w:rsidRPr="00D12895">
        <w:t xml:space="preserve">th </w:t>
      </w:r>
      <w:r w:rsidRPr="00D12895">
        <w:rPr>
          <w:spacing w:val="-1"/>
        </w:rPr>
        <w:t>S</w:t>
      </w:r>
      <w:r w:rsidRPr="00D12895">
        <w:t>3As</w:t>
      </w:r>
      <w:r w:rsidRPr="00D12895">
        <w:rPr>
          <w:spacing w:val="-1"/>
        </w:rPr>
        <w:t xml:space="preserve"> f</w:t>
      </w:r>
      <w:r w:rsidRPr="00D12895">
        <w:t>rom</w:t>
      </w:r>
      <w:r w:rsidRPr="00D12895">
        <w:rPr>
          <w:spacing w:val="-2"/>
        </w:rPr>
        <w:t xml:space="preserve"> </w:t>
      </w:r>
      <w:r w:rsidRPr="00D12895">
        <w:t>a nu</w:t>
      </w:r>
      <w:r w:rsidRPr="00D12895">
        <w:rPr>
          <w:spacing w:val="-2"/>
        </w:rPr>
        <w:t>m</w:t>
      </w:r>
      <w:r w:rsidRPr="00D12895">
        <w:t>ber of</w:t>
      </w:r>
      <w:r w:rsidRPr="00D12895">
        <w:rPr>
          <w:spacing w:val="-1"/>
        </w:rPr>
        <w:t xml:space="preserve"> </w:t>
      </w:r>
      <w:r w:rsidRPr="00D12895">
        <w:t xml:space="preserve">different </w:t>
      </w:r>
      <w:r w:rsidRPr="00D12895">
        <w:rPr>
          <w:spacing w:val="-1"/>
        </w:rPr>
        <w:t>so</w:t>
      </w:r>
      <w:r w:rsidRPr="00D12895">
        <w:t>urce</w:t>
      </w:r>
      <w:r w:rsidRPr="00D12895">
        <w:rPr>
          <w:spacing w:val="-1"/>
        </w:rPr>
        <w:t>s</w:t>
      </w:r>
      <w:r w:rsidRPr="00D12895">
        <w:t>.</w:t>
      </w:r>
    </w:p>
    <w:p w14:paraId="369D0172" w14:textId="7CD55E74" w:rsidR="003E1553" w:rsidRPr="00D12895" w:rsidRDefault="00D4203B" w:rsidP="006A6AFA">
      <w:r w:rsidRPr="00D12895">
        <w:rPr>
          <w:spacing w:val="2"/>
        </w:rPr>
        <w:t>W</w:t>
      </w:r>
      <w:r w:rsidRPr="00D12895">
        <w:rPr>
          <w:spacing w:val="-1"/>
        </w:rPr>
        <w:t>i</w:t>
      </w:r>
      <w:r w:rsidRPr="00D12895">
        <w:rPr>
          <w:spacing w:val="-2"/>
        </w:rPr>
        <w:t>t</w:t>
      </w:r>
      <w:r w:rsidRPr="00D12895">
        <w:t xml:space="preserve">hin </w:t>
      </w:r>
      <w:r w:rsidRPr="00D12895">
        <w:rPr>
          <w:spacing w:val="-2"/>
        </w:rPr>
        <w:t>t</w:t>
      </w:r>
      <w:r w:rsidRPr="00D12895">
        <w:t xml:space="preserve">he </w:t>
      </w:r>
      <w:r w:rsidRPr="00D12895">
        <w:rPr>
          <w:spacing w:val="-1"/>
        </w:rPr>
        <w:t>s</w:t>
      </w:r>
      <w:r w:rsidRPr="00D12895">
        <w:t>uggested text th</w:t>
      </w:r>
      <w:r w:rsidRPr="00D12895">
        <w:rPr>
          <w:spacing w:val="-1"/>
        </w:rPr>
        <w:t>er</w:t>
      </w:r>
      <w:r w:rsidRPr="00D12895">
        <w:t>e</w:t>
      </w:r>
      <w:r w:rsidRPr="00D12895">
        <w:rPr>
          <w:spacing w:val="-1"/>
        </w:rPr>
        <w:t xml:space="preserve"> </w:t>
      </w:r>
      <w:r w:rsidRPr="00D12895">
        <w:t>are a</w:t>
      </w:r>
      <w:r w:rsidRPr="00D12895">
        <w:rPr>
          <w:spacing w:val="-1"/>
        </w:rPr>
        <w:t xml:space="preserve"> </w:t>
      </w:r>
      <w:r w:rsidRPr="00D12895">
        <w:t>nu</w:t>
      </w:r>
      <w:r w:rsidRPr="00D12895">
        <w:rPr>
          <w:spacing w:val="-2"/>
        </w:rPr>
        <w:t>m</w:t>
      </w:r>
      <w:r w:rsidRPr="00D12895">
        <w:t>ber of</w:t>
      </w:r>
      <w:r w:rsidRPr="00D12895">
        <w:rPr>
          <w:spacing w:val="-1"/>
        </w:rPr>
        <w:t xml:space="preserve"> </w:t>
      </w:r>
      <w:r w:rsidRPr="00D12895">
        <w:t>place-hold</w:t>
      </w:r>
      <w:r w:rsidRPr="00D12895">
        <w:rPr>
          <w:spacing w:val="-1"/>
        </w:rPr>
        <w:t>e</w:t>
      </w:r>
      <w:r w:rsidRPr="00D12895">
        <w:t>rs</w:t>
      </w:r>
      <w:r w:rsidRPr="00D12895">
        <w:rPr>
          <w:spacing w:val="-1"/>
        </w:rPr>
        <w:t xml:space="preserve"> </w:t>
      </w:r>
      <w:r w:rsidRPr="00D12895">
        <w:t>wh</w:t>
      </w:r>
      <w:r w:rsidRPr="00D12895">
        <w:rPr>
          <w:spacing w:val="-1"/>
        </w:rPr>
        <w:t>e</w:t>
      </w:r>
      <w:r w:rsidRPr="00D12895">
        <w:t xml:space="preserve">re </w:t>
      </w:r>
      <w:r w:rsidRPr="00D12895">
        <w:rPr>
          <w:spacing w:val="-1"/>
        </w:rPr>
        <w:t>a</w:t>
      </w:r>
      <w:r w:rsidRPr="00D12895">
        <w:t xml:space="preserve">uthors </w:t>
      </w:r>
      <w:r w:rsidRPr="00D12895">
        <w:rPr>
          <w:spacing w:val="-1"/>
        </w:rPr>
        <w:t>s</w:t>
      </w:r>
      <w:r w:rsidRPr="00D12895">
        <w:t>hould substitute the details of their own organizations and Services.  These are indicated using</w:t>
      </w:r>
      <w:r w:rsidRPr="00D12895">
        <w:rPr>
          <w:spacing w:val="-1"/>
        </w:rPr>
        <w:t xml:space="preserve"> «</w:t>
      </w:r>
      <w:r w:rsidR="00682D6A" w:rsidRPr="00D12895">
        <w:rPr>
          <w:spacing w:val="-1"/>
        </w:rPr>
        <w:t xml:space="preserve"> </w:t>
      </w:r>
      <w:r w:rsidR="00DB4D0A" w:rsidRPr="00D12895">
        <w:rPr>
          <w:i/>
          <w:spacing w:val="-1"/>
        </w:rPr>
        <w:t xml:space="preserve">italicized </w:t>
      </w:r>
      <w:r w:rsidR="003E1553" w:rsidRPr="00D12895">
        <w:rPr>
          <w:i/>
        </w:rPr>
        <w:t>markers</w:t>
      </w:r>
      <w:r w:rsidR="00682D6A" w:rsidRPr="00D12895">
        <w:t xml:space="preserve"> </w:t>
      </w:r>
      <w:r w:rsidRPr="00D12895">
        <w:t>» as</w:t>
      </w:r>
      <w:r w:rsidRPr="00D12895">
        <w:rPr>
          <w:spacing w:val="-2"/>
        </w:rPr>
        <w:t xml:space="preserve"> </w:t>
      </w:r>
      <w:r w:rsidRPr="00D12895">
        <w:rPr>
          <w:spacing w:val="-1"/>
        </w:rPr>
        <w:t>i</w:t>
      </w:r>
      <w:r w:rsidRPr="00D12895">
        <w:t>nd</w:t>
      </w:r>
      <w:r w:rsidRPr="00D12895">
        <w:rPr>
          <w:spacing w:val="-1"/>
        </w:rPr>
        <w:t>i</w:t>
      </w:r>
      <w:r w:rsidRPr="00D12895">
        <w:t>ca</w:t>
      </w:r>
      <w:r w:rsidRPr="00D12895">
        <w:rPr>
          <w:spacing w:val="-1"/>
        </w:rPr>
        <w:t>t</w:t>
      </w:r>
      <w:r w:rsidRPr="00D12895">
        <w:t xml:space="preserve">ed </w:t>
      </w:r>
      <w:r w:rsidRPr="00D12895">
        <w:rPr>
          <w:spacing w:val="-1"/>
        </w:rPr>
        <w:t>i</w:t>
      </w:r>
      <w:r w:rsidRPr="00D12895">
        <w:t>n this sentence.</w:t>
      </w:r>
      <w:r w:rsidR="000D215E" w:rsidRPr="00D12895">
        <w:t xml:space="preserve">  Optional text is indicated as </w:t>
      </w:r>
      <w:r w:rsidR="00461C9D" w:rsidRPr="00D12895">
        <w:t xml:space="preserve">{optional text} or </w:t>
      </w:r>
      <w:proofErr w:type="gramStart"/>
      <w:r w:rsidR="000D215E" w:rsidRPr="00D12895">
        <w:t>{ option</w:t>
      </w:r>
      <w:proofErr w:type="gramEnd"/>
      <w:r w:rsidR="000D215E" w:rsidRPr="00D12895">
        <w:t xml:space="preserve"> A | option B }.</w:t>
      </w:r>
    </w:p>
    <w:p w14:paraId="3C0F7FCA" w14:textId="62A3FF7B" w:rsidR="00DB4D0A" w:rsidRPr="00D12895" w:rsidRDefault="00DB4D0A" w:rsidP="006A6AFA">
      <w:r w:rsidRPr="00D12895">
        <w:t xml:space="preserve">Guidance for the interpretation or preparation of parts of the KAR </w:t>
      </w:r>
      <w:r w:rsidR="00A0005B" w:rsidRPr="00D12895">
        <w:t xml:space="preserve">is </w:t>
      </w:r>
      <w:r w:rsidRPr="00D12895">
        <w:t xml:space="preserve">provided in outlined </w:t>
      </w:r>
      <w:r w:rsidRPr="00D12895">
        <w:rPr>
          <w:color w:val="C00000"/>
        </w:rPr>
        <w:t xml:space="preserve">dark red text </w:t>
      </w:r>
      <w:r w:rsidRPr="00D12895">
        <w:t xml:space="preserve">or within </w:t>
      </w:r>
      <w:r w:rsidR="000D215E" w:rsidRPr="00D12895">
        <w:rPr>
          <w:color w:val="C00000"/>
        </w:rPr>
        <w:t xml:space="preserve">[ such </w:t>
      </w:r>
      <w:proofErr w:type="gramStart"/>
      <w:r w:rsidR="000D215E" w:rsidRPr="00D12895">
        <w:rPr>
          <w:color w:val="C00000"/>
        </w:rPr>
        <w:t>brackets ]</w:t>
      </w:r>
      <w:proofErr w:type="gramEnd"/>
      <w:r w:rsidR="000D215E" w:rsidRPr="00D12895">
        <w:t xml:space="preserve"> </w:t>
      </w:r>
      <w:r w:rsidR="00080232">
        <w:t>and should</w:t>
      </w:r>
      <w:r w:rsidRPr="00D12895">
        <w:t xml:space="preserve"> be deleted once its purpose has been served.</w:t>
      </w:r>
    </w:p>
    <w:p w14:paraId="620AA196" w14:textId="77777777" w:rsidR="00C25063" w:rsidRPr="00D12895" w:rsidRDefault="00C25063" w:rsidP="005B28C3">
      <w:pPr>
        <w:pStyle w:val="Heading2"/>
        <w:autoSpaceDE/>
        <w:autoSpaceDN/>
        <w:adjustRightInd/>
        <w:spacing w:before="120"/>
        <w:ind w:right="-14"/>
        <w:jc w:val="left"/>
      </w:pPr>
      <w:bookmarkStart w:id="86" w:name="_Toc319619931"/>
      <w:bookmarkStart w:id="87" w:name="_Toc337678246"/>
      <w:bookmarkStart w:id="88" w:name="_Toc505092496"/>
      <w:r w:rsidRPr="00D12895">
        <w:t>Changes in this revision</w:t>
      </w:r>
      <w:bookmarkEnd w:id="86"/>
      <w:bookmarkEnd w:id="87"/>
      <w:bookmarkEnd w:id="88"/>
    </w:p>
    <w:p w14:paraId="01DB4790" w14:textId="5CEE881A" w:rsidR="00E30966" w:rsidRPr="00D12895" w:rsidRDefault="00C25063" w:rsidP="005B28C3">
      <w:pPr>
        <w:pStyle w:val="BodyText"/>
        <w:tabs>
          <w:tab w:val="left" w:pos="8640"/>
        </w:tabs>
        <w:ind w:right="2"/>
      </w:pPr>
      <w:r w:rsidRPr="00D12895">
        <w:t>The principal reason</w:t>
      </w:r>
      <w:r w:rsidR="00E30966" w:rsidRPr="00D12895">
        <w:t>s</w:t>
      </w:r>
      <w:r w:rsidRPr="00D12895">
        <w:t xml:space="preserve"> for </w:t>
      </w:r>
      <w:r w:rsidR="00FB6442" w:rsidRPr="00D12895">
        <w:t xml:space="preserve">this revision </w:t>
      </w:r>
      <w:r w:rsidR="00E30966" w:rsidRPr="00D12895">
        <w:t>were to:</w:t>
      </w:r>
    </w:p>
    <w:p w14:paraId="610D977B" w14:textId="10134288" w:rsidR="00E30966" w:rsidRPr="00D12895" w:rsidRDefault="00297A85" w:rsidP="005B28C3">
      <w:pPr>
        <w:pStyle w:val="BodyText"/>
        <w:numPr>
          <w:ilvl w:val="0"/>
          <w:numId w:val="33"/>
        </w:numPr>
        <w:tabs>
          <w:tab w:val="left" w:pos="8640"/>
        </w:tabs>
        <w:ind w:right="2"/>
      </w:pPr>
      <w:r w:rsidRPr="00D12895">
        <w:t>accom</w:t>
      </w:r>
      <w:r w:rsidR="00332321">
        <w:t>m</w:t>
      </w:r>
      <w:r w:rsidRPr="00D12895">
        <w:t>odate the broadening of scope of Classes of Approval being offered by Kantara  and the consequent effect upon how assessments are scoped and performed;</w:t>
      </w:r>
    </w:p>
    <w:p w14:paraId="59DF3F7F" w14:textId="5D1752C4" w:rsidR="00D12895" w:rsidRPr="00D12895" w:rsidRDefault="00297A85" w:rsidP="005B28C3">
      <w:pPr>
        <w:pStyle w:val="BodyText"/>
        <w:numPr>
          <w:ilvl w:val="0"/>
          <w:numId w:val="33"/>
        </w:numPr>
        <w:tabs>
          <w:tab w:val="left" w:pos="8640"/>
        </w:tabs>
        <w:ind w:right="2"/>
      </w:pPr>
      <w:r w:rsidRPr="00D12895">
        <w:t xml:space="preserve">align to </w:t>
      </w:r>
      <w:r w:rsidR="00D12895" w:rsidRPr="00D12895">
        <w:t xml:space="preserve">revised </w:t>
      </w:r>
      <w:r w:rsidRPr="00D12895">
        <w:t xml:space="preserve">practices defined in </w:t>
      </w:r>
      <w:r w:rsidR="00D12895" w:rsidRPr="00D12895">
        <w:t>KIAF-1430 v1.0 (</w:t>
      </w:r>
      <w:r w:rsidRPr="00D12895">
        <w:t>the S</w:t>
      </w:r>
      <w:r w:rsidR="00D12895" w:rsidRPr="00D12895">
        <w:t xml:space="preserve">ervice </w:t>
      </w:r>
      <w:r w:rsidRPr="00D12895">
        <w:t>A</w:t>
      </w:r>
      <w:r w:rsidR="00D12895" w:rsidRPr="00D12895">
        <w:t xml:space="preserve">ssessment </w:t>
      </w:r>
      <w:r w:rsidRPr="00D12895">
        <w:t>H</w:t>
      </w:r>
      <w:r w:rsidR="00D12895" w:rsidRPr="00D12895">
        <w:t>andbook)</w:t>
      </w:r>
      <w:r w:rsidRPr="00D12895">
        <w:t>, which has replaced the AAS and RAA</w:t>
      </w:r>
      <w:r w:rsidR="00D12895" w:rsidRPr="00D12895">
        <w:t xml:space="preserve"> publications, principal of which has been reporting on the remediation of prior non-conformities;</w:t>
      </w:r>
    </w:p>
    <w:p w14:paraId="311A22CF" w14:textId="79B9500A" w:rsidR="00E30966" w:rsidRPr="00D12895" w:rsidRDefault="00D12895" w:rsidP="005B28C3">
      <w:pPr>
        <w:pStyle w:val="BodyText"/>
        <w:numPr>
          <w:ilvl w:val="0"/>
          <w:numId w:val="33"/>
        </w:numPr>
        <w:ind w:right="2"/>
      </w:pPr>
      <w:r w:rsidRPr="00D12895">
        <w:t>inclusion of an attestation from the Applicant that they have made available all material evidence and have accepted the findings in the KAR</w:t>
      </w:r>
      <w:r w:rsidR="00E30966" w:rsidRPr="00D12895">
        <w:t>.</w:t>
      </w:r>
    </w:p>
    <w:p w14:paraId="17BF8AD3" w14:textId="77777777" w:rsidR="00C25063" w:rsidRDefault="00C25063" w:rsidP="006A6AFA"/>
    <w:p w14:paraId="333377B2" w14:textId="77777777" w:rsidR="00080232" w:rsidRPr="00D12895" w:rsidRDefault="00080232" w:rsidP="00080232">
      <w:r w:rsidRPr="00D12895">
        <w:lastRenderedPageBreak/>
        <w:t>NOTE – All text preceding and including this Note is either standard boiler-plate text for public-domain Kantara documents or explanatory text for users of this pro forma.  Assessors are free to remove this text from their reports, such that they produce a document on their own headed paper which adopts the format described in the remainder of the document.</w:t>
      </w:r>
    </w:p>
    <w:p w14:paraId="7C1B0248" w14:textId="77777777" w:rsidR="00080232" w:rsidRPr="00D12895" w:rsidRDefault="00080232" w:rsidP="006A6AFA"/>
    <w:p w14:paraId="45F74FB5" w14:textId="77777777" w:rsidR="00BB7EA2" w:rsidRPr="00D12895" w:rsidRDefault="00BB7EA2">
      <w:pPr>
        <w:autoSpaceDE/>
        <w:autoSpaceDN/>
        <w:adjustRightInd/>
        <w:spacing w:after="0"/>
        <w:jc w:val="left"/>
        <w:rPr>
          <w:i/>
          <w:color w:val="800000"/>
        </w:rPr>
      </w:pPr>
      <w:r w:rsidRPr="00D12895">
        <w:br w:type="page"/>
      </w:r>
    </w:p>
    <w:p w14:paraId="304FA686" w14:textId="5D8E261F" w:rsidR="00CC1EEC" w:rsidRPr="00D12895" w:rsidRDefault="00CC1EEC" w:rsidP="00675D8F">
      <w:pPr>
        <w:pStyle w:val="Narrative"/>
        <w:rPr>
          <w:position w:val="-1"/>
        </w:rPr>
      </w:pPr>
      <w:r w:rsidRPr="00D12895">
        <w:lastRenderedPageBreak/>
        <w:t xml:space="preserve">The </w:t>
      </w:r>
      <w:r w:rsidRPr="00D12895">
        <w:rPr>
          <w:spacing w:val="-2"/>
        </w:rPr>
        <w:t>f</w:t>
      </w:r>
      <w:r w:rsidRPr="00D12895">
        <w:t xml:space="preserve">ollowing </w:t>
      </w:r>
      <w:r w:rsidRPr="00D12895">
        <w:rPr>
          <w:spacing w:val="-2"/>
        </w:rPr>
        <w:t>t</w:t>
      </w:r>
      <w:r w:rsidRPr="00D12895">
        <w:t xml:space="preserve">ext is </w:t>
      </w:r>
      <w:r w:rsidR="0074752B" w:rsidRPr="00D12895">
        <w:t xml:space="preserve">required to be </w:t>
      </w:r>
      <w:r w:rsidR="00DB4D0A" w:rsidRPr="00D12895">
        <w:t>used</w:t>
      </w:r>
      <w:r w:rsidR="0074752B" w:rsidRPr="00D12895">
        <w:t xml:space="preserve"> by Kantara-Accredited Assessors </w:t>
      </w:r>
      <w:r w:rsidRPr="00D12895">
        <w:t xml:space="preserve">for </w:t>
      </w:r>
      <w:r w:rsidR="0074752B" w:rsidRPr="00D12895">
        <w:t xml:space="preserve">the reporting of the outcome of </w:t>
      </w:r>
      <w:r w:rsidR="00BB7EA2" w:rsidRPr="00D12895">
        <w:t xml:space="preserve">all </w:t>
      </w:r>
      <w:r w:rsidR="0074752B" w:rsidRPr="00D12895">
        <w:t xml:space="preserve">Kantara </w:t>
      </w:r>
      <w:r w:rsidR="00DB4D0A" w:rsidRPr="00D12895">
        <w:t xml:space="preserve">Service </w:t>
      </w:r>
      <w:r w:rsidR="0074752B" w:rsidRPr="00D12895">
        <w:t>As</w:t>
      </w:r>
      <w:r w:rsidR="00DB4D0A" w:rsidRPr="00D12895">
        <w:t>s</w:t>
      </w:r>
      <w:r w:rsidR="0074752B" w:rsidRPr="00D12895">
        <w:t>essments</w:t>
      </w:r>
      <w:r w:rsidRPr="00D12895">
        <w:rPr>
          <w:position w:val="-1"/>
        </w:rPr>
        <w:t>.</w:t>
      </w:r>
      <w:r w:rsidR="0074752B" w:rsidRPr="00D12895">
        <w:rPr>
          <w:position w:val="-1"/>
        </w:rPr>
        <w:t xml:space="preserve">  </w:t>
      </w:r>
    </w:p>
    <w:p w14:paraId="31594FE0" w14:textId="55FEC251" w:rsidR="009119B2" w:rsidRPr="00D12895" w:rsidRDefault="009119B2" w:rsidP="00675D8F">
      <w:pPr>
        <w:pStyle w:val="Narrative"/>
      </w:pPr>
      <w:r w:rsidRPr="00D12895">
        <w:rPr>
          <w:position w:val="-1"/>
        </w:rPr>
        <w:t>{TYPE} should be one of:  READY TO OPERATE | PERIOD OF GTIME | ANNUAL CONFORMITY REPORT \ SUPPLEMENTARY as applicable to the applicable Class(es) of Approval – see [ref. to ‘Classes of Approval’ web page].</w:t>
      </w:r>
    </w:p>
    <w:p w14:paraId="7CD3E2D7" w14:textId="23F433F0" w:rsidR="0074752B" w:rsidRPr="00D12895" w:rsidRDefault="0074752B" w:rsidP="00DB4D0A">
      <w:pPr>
        <w:spacing w:before="100" w:beforeAutospacing="1" w:after="100" w:afterAutospacing="1"/>
        <w:jc w:val="center"/>
        <w:rPr>
          <w:b/>
          <w:bCs/>
          <w:i/>
          <w:iCs/>
          <w:sz w:val="28"/>
          <w:szCs w:val="28"/>
        </w:rPr>
      </w:pPr>
      <w:r w:rsidRPr="00D12895">
        <w:rPr>
          <w:b/>
          <w:bCs/>
          <w:i/>
          <w:iCs/>
          <w:sz w:val="28"/>
          <w:szCs w:val="28"/>
        </w:rPr>
        <w:t xml:space="preserve">KANTARA ASSESSOR’S </w:t>
      </w:r>
      <w:r w:rsidR="009119B2" w:rsidRPr="00D12895">
        <w:rPr>
          <w:b/>
          <w:bCs/>
          <w:i/>
          <w:iCs/>
          <w:sz w:val="28"/>
          <w:szCs w:val="28"/>
        </w:rPr>
        <w:t xml:space="preserve">{CLASS OF APPROVAL} </w:t>
      </w:r>
      <w:r w:rsidR="00BB7EA2" w:rsidRPr="00D12895">
        <w:rPr>
          <w:b/>
          <w:bCs/>
          <w:i/>
          <w:iCs/>
          <w:sz w:val="28"/>
          <w:szCs w:val="28"/>
        </w:rPr>
        <w:t>{</w:t>
      </w:r>
      <w:r w:rsidR="009119B2" w:rsidRPr="00D12895">
        <w:rPr>
          <w:b/>
          <w:bCs/>
          <w:i/>
          <w:iCs/>
          <w:sz w:val="28"/>
          <w:szCs w:val="28"/>
        </w:rPr>
        <w:t>TYPE</w:t>
      </w:r>
      <w:r w:rsidR="00BB7EA2" w:rsidRPr="00D12895">
        <w:rPr>
          <w:b/>
          <w:bCs/>
          <w:i/>
          <w:iCs/>
          <w:sz w:val="28"/>
          <w:szCs w:val="28"/>
        </w:rPr>
        <w:t xml:space="preserve">} </w:t>
      </w:r>
      <w:r w:rsidRPr="00D12895">
        <w:rPr>
          <w:b/>
          <w:bCs/>
          <w:i/>
          <w:iCs/>
          <w:sz w:val="28"/>
          <w:szCs w:val="28"/>
        </w:rPr>
        <w:t>REPORT</w:t>
      </w:r>
      <w:r w:rsidR="00A466E0" w:rsidRPr="00D12895">
        <w:rPr>
          <w:b/>
          <w:bCs/>
          <w:i/>
          <w:iCs/>
          <w:sz w:val="28"/>
          <w:szCs w:val="28"/>
        </w:rPr>
        <w:br/>
      </w:r>
    </w:p>
    <w:p w14:paraId="67B24B90" w14:textId="730DF0F4" w:rsidR="0074752B" w:rsidRPr="00D12895" w:rsidRDefault="0074752B" w:rsidP="0074752B">
      <w:pPr>
        <w:spacing w:before="100" w:beforeAutospacing="1" w:after="100" w:afterAutospacing="1"/>
        <w:rPr>
          <w:bCs/>
          <w:iCs/>
        </w:rPr>
      </w:pPr>
      <w:r w:rsidRPr="00D12895">
        <w:rPr>
          <w:bCs/>
          <w:iCs/>
        </w:rPr>
        <w:t>«</w:t>
      </w:r>
      <w:r w:rsidRPr="00D12895">
        <w:rPr>
          <w:bCs/>
          <w:i/>
          <w:iCs/>
        </w:rPr>
        <w:t>Assessor’s name</w:t>
      </w:r>
      <w:r w:rsidRPr="00D12895">
        <w:rPr>
          <w:bCs/>
          <w:iCs/>
        </w:rPr>
        <w:t xml:space="preserve">», a </w:t>
      </w:r>
      <w:r w:rsidR="00DB4D0A" w:rsidRPr="00D12895">
        <w:rPr>
          <w:bCs/>
          <w:iCs/>
        </w:rPr>
        <w:t>Kantara-Accredited Assessor</w:t>
      </w:r>
      <w:r w:rsidR="004625F6" w:rsidRPr="00D12895">
        <w:rPr>
          <w:bCs/>
          <w:iCs/>
        </w:rPr>
        <w:t xml:space="preserve"> ref.</w:t>
      </w:r>
      <w:r w:rsidR="00A73BF3" w:rsidRPr="00D12895">
        <w:t xml:space="preserve"> IAF/SSR/«</w:t>
      </w:r>
      <w:proofErr w:type="spellStart"/>
      <w:r w:rsidR="00A73BF3" w:rsidRPr="00D12895">
        <w:t>yy</w:t>
      </w:r>
      <w:proofErr w:type="spellEnd"/>
      <w:r w:rsidR="00A73BF3" w:rsidRPr="00D12895">
        <w:t>».«</w:t>
      </w:r>
      <w:proofErr w:type="spellStart"/>
      <w:r w:rsidR="00A73BF3" w:rsidRPr="00D12895">
        <w:t>nn</w:t>
      </w:r>
      <w:proofErr w:type="spellEnd"/>
      <w:r w:rsidR="00A73BF3" w:rsidRPr="00D12895">
        <w:t>»/KI</w:t>
      </w:r>
      <w:r w:rsidRPr="00D12895">
        <w:rPr>
          <w:bCs/>
          <w:iCs/>
        </w:rPr>
        <w:t>, has assessed «</w:t>
      </w:r>
      <w:r w:rsidRPr="00D12895">
        <w:rPr>
          <w:bCs/>
          <w:i/>
          <w:iCs/>
        </w:rPr>
        <w:t>Applicant’s name</w:t>
      </w:r>
      <w:r w:rsidRPr="00D12895">
        <w:rPr>
          <w:bCs/>
          <w:iCs/>
        </w:rPr>
        <w:t>»</w:t>
      </w:r>
      <w:r w:rsidR="00A70BC9" w:rsidRPr="00D12895">
        <w:rPr>
          <w:bCs/>
          <w:iCs/>
        </w:rPr>
        <w:t>’s</w:t>
      </w:r>
      <w:r w:rsidRPr="00D12895">
        <w:rPr>
          <w:bCs/>
          <w:iCs/>
        </w:rPr>
        <w:t xml:space="preserve"> «</w:t>
      </w:r>
      <w:r w:rsidRPr="00D12895">
        <w:rPr>
          <w:bCs/>
          <w:i/>
          <w:iCs/>
        </w:rPr>
        <w:t>Applicant’s Service’s name</w:t>
      </w:r>
      <w:r w:rsidRPr="00D12895">
        <w:rPr>
          <w:bCs/>
          <w:iCs/>
        </w:rPr>
        <w:t xml:space="preserve">» service </w:t>
      </w:r>
      <w:r w:rsidR="005F1AEE" w:rsidRPr="005B28C3">
        <w:rPr>
          <w:bCs/>
          <w:iCs/>
        </w:rPr>
        <w:t>as</w:t>
      </w:r>
      <w:r w:rsidR="00A00649" w:rsidRPr="005B28C3">
        <w:rPr>
          <w:bCs/>
          <w:iCs/>
        </w:rPr>
        <w:t xml:space="preserve"> a</w:t>
      </w:r>
      <w:r w:rsidR="005F1AEE" w:rsidRPr="005B28C3">
        <w:rPr>
          <w:bCs/>
          <w:iCs/>
        </w:rPr>
        <w:t xml:space="preserve"> </w:t>
      </w:r>
      <w:r w:rsidR="00A00649" w:rsidRPr="005B28C3">
        <w:rPr>
          <w:bCs/>
          <w:iCs/>
        </w:rPr>
        <w:t>{</w:t>
      </w:r>
      <w:r w:rsidR="00A70BC9" w:rsidRPr="005B28C3">
        <w:rPr>
          <w:bCs/>
          <w:iCs/>
        </w:rPr>
        <w:t>Full</w:t>
      </w:r>
      <w:r w:rsidR="005F1AEE" w:rsidRPr="005B28C3">
        <w:rPr>
          <w:bCs/>
          <w:iCs/>
        </w:rPr>
        <w:t xml:space="preserve"> </w:t>
      </w:r>
      <w:r w:rsidR="00A00649" w:rsidRPr="005B28C3">
        <w:rPr>
          <w:bCs/>
          <w:iCs/>
        </w:rPr>
        <w:t xml:space="preserve">| </w:t>
      </w:r>
      <w:r w:rsidR="005F1AEE" w:rsidRPr="005B28C3">
        <w:rPr>
          <w:bCs/>
          <w:iCs/>
        </w:rPr>
        <w:t>Component</w:t>
      </w:r>
      <w:r w:rsidR="00A00649" w:rsidRPr="005B28C3">
        <w:rPr>
          <w:bCs/>
          <w:iCs/>
        </w:rPr>
        <w:t>}</w:t>
      </w:r>
      <w:r w:rsidR="005F1AEE" w:rsidRPr="005B28C3">
        <w:rPr>
          <w:bCs/>
          <w:iCs/>
        </w:rPr>
        <w:t xml:space="preserve"> </w:t>
      </w:r>
      <w:r w:rsidR="00A70BC9" w:rsidRPr="005B28C3">
        <w:rPr>
          <w:bCs/>
          <w:iCs/>
        </w:rPr>
        <w:t>Service</w:t>
      </w:r>
      <w:r w:rsidR="00A00649" w:rsidRPr="005B28C3">
        <w:rPr>
          <w:iCs/>
          <w:color w:val="C00000"/>
        </w:rPr>
        <w:t xml:space="preserve">[NOTE – Select according to the Applicant’s </w:t>
      </w:r>
      <w:r w:rsidR="002122CF" w:rsidRPr="005B28C3">
        <w:rPr>
          <w:iCs/>
          <w:color w:val="C00000"/>
        </w:rPr>
        <w:t xml:space="preserve">‘Full’ or ‘Component’ status as determined from their </w:t>
      </w:r>
      <w:r w:rsidR="00A00649" w:rsidRPr="005B28C3">
        <w:rPr>
          <w:iCs/>
          <w:color w:val="C00000"/>
        </w:rPr>
        <w:t>S3A]</w:t>
      </w:r>
      <w:r w:rsidR="00A00649" w:rsidRPr="00D12895">
        <w:rPr>
          <w:bCs/>
          <w:iCs/>
          <w:color w:val="C00000"/>
        </w:rPr>
        <w:t xml:space="preserve"> </w:t>
      </w:r>
      <w:r w:rsidRPr="00D12895">
        <w:rPr>
          <w:bCs/>
          <w:iCs/>
        </w:rPr>
        <w:t xml:space="preserve">against the Kantara </w:t>
      </w:r>
      <w:r w:rsidR="00A70BC9" w:rsidRPr="00D12895">
        <w:rPr>
          <w:bCs/>
          <w:iCs/>
        </w:rPr>
        <w:t xml:space="preserve">Initiative </w:t>
      </w:r>
      <w:r w:rsidRPr="00D12895">
        <w:rPr>
          <w:bCs/>
          <w:iCs/>
        </w:rPr>
        <w:t>Service Assessment Criteria set out in «</w:t>
      </w:r>
      <w:r w:rsidRPr="00D12895">
        <w:rPr>
          <w:bCs/>
          <w:i/>
          <w:iCs/>
        </w:rPr>
        <w:t xml:space="preserve">ref to Applicant’s SoC, as identified in their </w:t>
      </w:r>
      <w:r w:rsidRPr="005B28C3">
        <w:rPr>
          <w:bCs/>
          <w:i/>
          <w:iCs/>
        </w:rPr>
        <w:t>A</w:t>
      </w:r>
      <w:r w:rsidR="007B7FEF" w:rsidRPr="005B28C3">
        <w:rPr>
          <w:bCs/>
          <w:i/>
          <w:iCs/>
        </w:rPr>
        <w:t>S</w:t>
      </w:r>
      <w:r w:rsidRPr="005B28C3">
        <w:rPr>
          <w:bCs/>
          <w:i/>
          <w:iCs/>
        </w:rPr>
        <w:t>A</w:t>
      </w:r>
      <w:r w:rsidRPr="00D12895">
        <w:rPr>
          <w:bCs/>
          <w:i/>
          <w:iCs/>
        </w:rPr>
        <w:t xml:space="preserve"> &amp; S3A</w:t>
      </w:r>
      <w:r w:rsidR="00DB4D0A" w:rsidRPr="00D12895">
        <w:rPr>
          <w:bCs/>
          <w:i/>
          <w:iCs/>
        </w:rPr>
        <w:t xml:space="preserve"> – include precise version</w:t>
      </w:r>
      <w:r w:rsidRPr="00D12895">
        <w:rPr>
          <w:bCs/>
          <w:iCs/>
        </w:rPr>
        <w:t>»</w:t>
      </w:r>
      <w:r w:rsidR="00A70BC9" w:rsidRPr="00D12895">
        <w:rPr>
          <w:bCs/>
          <w:iCs/>
        </w:rPr>
        <w:t>[</w:t>
      </w:r>
      <w:r w:rsidRPr="00D12895">
        <w:rPr>
          <w:bCs/>
          <w:iCs/>
        </w:rPr>
        <w:t>, at Assurance Level(s) «</w:t>
      </w:r>
      <w:r w:rsidRPr="00D12895">
        <w:rPr>
          <w:bCs/>
          <w:i/>
          <w:iCs/>
        </w:rPr>
        <w:t>list ALs</w:t>
      </w:r>
      <w:r w:rsidR="00A70BC9" w:rsidRPr="00D12895">
        <w:rPr>
          <w:bCs/>
          <w:i/>
          <w:iCs/>
        </w:rPr>
        <w:t xml:space="preserve"> as and if applicable, else omit this phrasing</w:t>
      </w:r>
      <w:r w:rsidR="00A70BC9" w:rsidRPr="005B28C3">
        <w:rPr>
          <w:bCs/>
          <w:iCs/>
        </w:rPr>
        <w:t>]</w:t>
      </w:r>
      <w:r w:rsidRPr="00D12895">
        <w:rPr>
          <w:bCs/>
          <w:iCs/>
        </w:rPr>
        <w:t>»</w:t>
      </w:r>
      <w:r w:rsidR="00DB4D0A" w:rsidRPr="00D12895">
        <w:rPr>
          <w:bCs/>
          <w:iCs/>
        </w:rPr>
        <w:t>.</w:t>
      </w:r>
    </w:p>
    <w:p w14:paraId="3A139CEA" w14:textId="11000C29" w:rsidR="00461C9D" w:rsidRPr="00D12895" w:rsidRDefault="0074752B" w:rsidP="00A73BF3">
      <w:pPr>
        <w:spacing w:before="100" w:beforeAutospacing="1" w:after="100" w:afterAutospacing="1"/>
        <w:rPr>
          <w:bCs/>
          <w:iCs/>
        </w:rPr>
      </w:pPr>
      <w:r w:rsidRPr="00D12895">
        <w:rPr>
          <w:bCs/>
          <w:iCs/>
        </w:rPr>
        <w:t>«</w:t>
      </w:r>
      <w:r w:rsidRPr="00D12895">
        <w:rPr>
          <w:bCs/>
          <w:i/>
          <w:iCs/>
        </w:rPr>
        <w:t>Assessor’s name</w:t>
      </w:r>
      <w:r w:rsidRPr="00D12895">
        <w:rPr>
          <w:bCs/>
          <w:iCs/>
        </w:rPr>
        <w:t>» has performed this assessment based upon «</w:t>
      </w:r>
      <w:r w:rsidRPr="00D12895">
        <w:rPr>
          <w:bCs/>
          <w:i/>
          <w:iCs/>
        </w:rPr>
        <w:t>state basis of assessment</w:t>
      </w:r>
      <w:r w:rsidRPr="00D12895">
        <w:rPr>
          <w:i/>
          <w:iCs/>
        </w:rPr>
        <w:t xml:space="preserve"> e.g. AICPA, PCI, ISO,</w:t>
      </w:r>
      <w:r w:rsidR="00DB4D0A" w:rsidRPr="00D12895">
        <w:rPr>
          <w:i/>
          <w:iCs/>
        </w:rPr>
        <w:t xml:space="preserve"> etc.</w:t>
      </w:r>
      <w:r w:rsidRPr="00D12895">
        <w:rPr>
          <w:i/>
          <w:iCs/>
        </w:rPr>
        <w:t xml:space="preserve"> … </w:t>
      </w:r>
      <w:r w:rsidRPr="00D12895">
        <w:rPr>
          <w:iCs/>
          <w:color w:val="C00000"/>
        </w:rPr>
        <w:t>[NOTE – MUST be consistent with the basis of the Assessor’s KI-</w:t>
      </w:r>
      <w:proofErr w:type="gramStart"/>
      <w:r w:rsidRPr="00D12895">
        <w:rPr>
          <w:iCs/>
          <w:color w:val="C00000"/>
        </w:rPr>
        <w:t>Accreditation]</w:t>
      </w:r>
      <w:r w:rsidRPr="00D12895">
        <w:rPr>
          <w:bCs/>
          <w:iCs/>
        </w:rPr>
        <w:t>»</w:t>
      </w:r>
      <w:proofErr w:type="gramEnd"/>
      <w:r w:rsidR="00900084" w:rsidRPr="00D12895">
        <w:rPr>
          <w:bCs/>
          <w:iCs/>
        </w:rPr>
        <w:t>.</w:t>
      </w:r>
    </w:p>
    <w:p w14:paraId="203525D5" w14:textId="78EC19D4" w:rsidR="00900084" w:rsidRPr="00D12895" w:rsidRDefault="00900084" w:rsidP="005B28C3">
      <w:pPr>
        <w:spacing w:before="100" w:beforeAutospacing="1" w:after="100" w:afterAutospacing="1"/>
        <w:jc w:val="left"/>
        <w:rPr>
          <w:color w:val="auto"/>
          <w:lang w:val="en-GB" w:eastAsia="en-GB"/>
        </w:rPr>
      </w:pPr>
      <w:r w:rsidRPr="00D12895">
        <w:rPr>
          <w:color w:val="auto"/>
          <w:lang w:val="en-GB" w:eastAsia="en-GB"/>
        </w:rPr>
        <w:t>The assessment was conducted between «</w:t>
      </w:r>
      <w:r w:rsidRPr="00D12895">
        <w:rPr>
          <w:i/>
          <w:color w:val="auto"/>
          <w:lang w:val="en-GB" w:eastAsia="en-GB"/>
        </w:rPr>
        <w:t>start date</w:t>
      </w:r>
      <w:r w:rsidRPr="00D12895">
        <w:rPr>
          <w:color w:val="auto"/>
          <w:lang w:val="en-GB" w:eastAsia="en-GB"/>
        </w:rPr>
        <w:t>» and «</w:t>
      </w:r>
      <w:r w:rsidRPr="00D12895">
        <w:rPr>
          <w:i/>
          <w:color w:val="auto"/>
          <w:lang w:val="en-GB" w:eastAsia="en-GB"/>
        </w:rPr>
        <w:t>end date</w:t>
      </w:r>
      <w:r w:rsidRPr="00D12895">
        <w:rPr>
          <w:color w:val="auto"/>
          <w:lang w:val="en-GB" w:eastAsia="en-GB"/>
        </w:rPr>
        <w:t>» by «</w:t>
      </w:r>
      <w:r w:rsidRPr="00D12895">
        <w:rPr>
          <w:i/>
          <w:color w:val="auto"/>
          <w:lang w:val="en-GB" w:eastAsia="en-GB"/>
        </w:rPr>
        <w:t>Lead Auditor’s name</w:t>
      </w:r>
      <w:r w:rsidRPr="00D12895">
        <w:rPr>
          <w:color w:val="auto"/>
          <w:lang w:val="en-GB" w:eastAsia="en-GB"/>
        </w:rPr>
        <w:t>» (Lead Auditor) supported by «</w:t>
      </w:r>
      <w:r w:rsidRPr="00D12895">
        <w:rPr>
          <w:i/>
          <w:color w:val="auto"/>
          <w:lang w:val="en-GB" w:eastAsia="en-GB"/>
        </w:rPr>
        <w:t>state names of other participants, their affiliation if not all the Assessor’s own staff and their role (to differentiate between other Auditors and &lt;technical field&gt; SMEs</w:t>
      </w:r>
      <w:r w:rsidRPr="00D12895">
        <w:rPr>
          <w:color w:val="auto"/>
          <w:lang w:val="en-GB" w:eastAsia="en-GB"/>
        </w:rPr>
        <w:t>», as a {Day Zero assessment as of «date»| Period of Time assessment covering the period «</w:t>
      </w:r>
      <w:r w:rsidRPr="00D12895">
        <w:rPr>
          <w:i/>
          <w:color w:val="auto"/>
          <w:lang w:val="en-GB" w:eastAsia="en-GB"/>
        </w:rPr>
        <w:t>start date</w:t>
      </w:r>
      <w:r w:rsidRPr="00D12895">
        <w:rPr>
          <w:color w:val="auto"/>
          <w:lang w:val="en-GB" w:eastAsia="en-GB"/>
        </w:rPr>
        <w:t>» to «</w:t>
      </w:r>
      <w:r w:rsidRPr="00D12895">
        <w:rPr>
          <w:i/>
          <w:color w:val="auto"/>
          <w:lang w:val="en-GB" w:eastAsia="en-GB"/>
        </w:rPr>
        <w:t>end date</w:t>
      </w:r>
      <w:r w:rsidRPr="00D12895">
        <w:rPr>
          <w:color w:val="auto"/>
          <w:lang w:val="en-GB" w:eastAsia="en-GB"/>
        </w:rPr>
        <w:t xml:space="preserve">»}.  </w:t>
      </w:r>
    </w:p>
    <w:p w14:paraId="4D3DD411" w14:textId="3E866A98" w:rsidR="003D6AE6" w:rsidRPr="005B28C3" w:rsidRDefault="003D6AE6" w:rsidP="003D6AE6">
      <w:pPr>
        <w:spacing w:after="0"/>
        <w:jc w:val="left"/>
        <w:rPr>
          <w:bCs/>
        </w:rPr>
      </w:pPr>
      <w:r w:rsidRPr="005B28C3">
        <w:rPr>
          <w:bCs/>
        </w:rPr>
        <w:t>{</w:t>
      </w:r>
      <w:r w:rsidRPr="005B28C3">
        <w:rPr>
          <w:color w:val="auto"/>
          <w:lang w:val="en-GB" w:eastAsia="en-GB"/>
        </w:rPr>
        <w:t>There were no prior non-conformities which this assessment has needed to address</w:t>
      </w:r>
      <w:r w:rsidRPr="005B28C3">
        <w:rPr>
          <w:bCs/>
        </w:rPr>
        <w:t xml:space="preserve"> | The non-conformities record in the preceding KAR (ref. «KAR reference» [issued by «previous Accredited Assessor’s name»]) </w:t>
      </w:r>
      <w:r w:rsidRPr="005B28C3">
        <w:rPr>
          <w:bCs/>
          <w:color w:val="auto"/>
        </w:rPr>
        <w:t>have been included in this assessment and found to be satisfactorily remediated – see Annex B</w:t>
      </w:r>
      <w:r w:rsidRPr="005B28C3">
        <w:rPr>
          <w:bCs/>
        </w:rPr>
        <w:t>»}.</w:t>
      </w:r>
    </w:p>
    <w:p w14:paraId="65C033FF" w14:textId="59411392" w:rsidR="00810E7E" w:rsidRPr="00D12895" w:rsidRDefault="003D6AE6" w:rsidP="00810E7E">
      <w:pPr>
        <w:pBdr>
          <w:top w:val="single" w:sz="12" w:space="1" w:color="C00000"/>
          <w:left w:val="single" w:sz="12" w:space="4" w:color="C00000"/>
          <w:bottom w:val="single" w:sz="12" w:space="1" w:color="C00000"/>
          <w:right w:val="single" w:sz="12" w:space="4" w:color="C00000"/>
        </w:pBdr>
        <w:spacing w:before="100" w:beforeAutospacing="1" w:after="240"/>
        <w:rPr>
          <w:bCs/>
          <w:color w:val="C00000"/>
        </w:rPr>
      </w:pPr>
      <w:r w:rsidRPr="005B28C3">
        <w:rPr>
          <w:bCs/>
          <w:color w:val="C00000"/>
        </w:rPr>
        <w:t>Where the most recent KAR (if any) recorded any minor non-conformities the ongoing status of these non-conformities must be shown to have been cleared</w:t>
      </w:r>
      <w:r w:rsidR="00810E7E">
        <w:rPr>
          <w:bCs/>
          <w:color w:val="C00000"/>
        </w:rPr>
        <w:t>, otherwise (as mandated by the SAH) they</w:t>
      </w:r>
      <w:r w:rsidR="00810E7E" w:rsidRPr="00D12895">
        <w:rPr>
          <w:bCs/>
          <w:color w:val="C00000"/>
        </w:rPr>
        <w:t xml:space="preserve"> shall be determined as Major Non-Conformities.</w:t>
      </w:r>
    </w:p>
    <w:p w14:paraId="57FD7AA6" w14:textId="793ACC73" w:rsidR="003D6AE6" w:rsidRPr="00BB7EA2" w:rsidRDefault="003D6AE6" w:rsidP="003D6AE6">
      <w:pPr>
        <w:pBdr>
          <w:top w:val="single" w:sz="12" w:space="1" w:color="C00000"/>
          <w:left w:val="single" w:sz="12" w:space="4" w:color="C00000"/>
          <w:bottom w:val="single" w:sz="12" w:space="1" w:color="C00000"/>
          <w:right w:val="single" w:sz="12" w:space="4" w:color="C00000"/>
        </w:pBdr>
        <w:spacing w:before="100" w:beforeAutospacing="1" w:after="100" w:afterAutospacing="1"/>
        <w:rPr>
          <w:bCs/>
          <w:color w:val="C00000"/>
        </w:rPr>
      </w:pPr>
      <w:r w:rsidRPr="005B28C3">
        <w:rPr>
          <w:bCs/>
          <w:color w:val="C00000"/>
        </w:rPr>
        <w:t>There must be a reference to the previous KAR (the ARB will hold copy, if one exists) and if a different assessor issued that KAR, their name should be included for completeness.</w:t>
      </w:r>
    </w:p>
    <w:p w14:paraId="1FE67939" w14:textId="4E9289B8" w:rsidR="00A466E0" w:rsidRPr="00D12895" w:rsidRDefault="00461C9D" w:rsidP="0074752B">
      <w:pPr>
        <w:spacing w:before="100" w:beforeAutospacing="1" w:after="100" w:afterAutospacing="1"/>
        <w:rPr>
          <w:bCs/>
          <w:iCs/>
        </w:rPr>
      </w:pPr>
      <w:r w:rsidRPr="00D12895">
        <w:rPr>
          <w:bCs/>
          <w:iCs/>
        </w:rPr>
        <w:t>We have</w:t>
      </w:r>
      <w:r w:rsidR="0074752B" w:rsidRPr="00D12895">
        <w:rPr>
          <w:bCs/>
          <w:iCs/>
        </w:rPr>
        <w:t xml:space="preserve"> found the «</w:t>
      </w:r>
      <w:r w:rsidR="0074752B" w:rsidRPr="00D12895">
        <w:rPr>
          <w:bCs/>
          <w:i/>
          <w:iCs/>
        </w:rPr>
        <w:t>Applicant’s Service’s name</w:t>
      </w:r>
      <w:r w:rsidR="0074752B" w:rsidRPr="00D12895">
        <w:rPr>
          <w:bCs/>
          <w:iCs/>
        </w:rPr>
        <w:t xml:space="preserve">» service to be conformant with all of the </w:t>
      </w:r>
      <w:r w:rsidRPr="00D12895">
        <w:rPr>
          <w:bCs/>
          <w:iCs/>
        </w:rPr>
        <w:t>criteria set forth in the referenced SoC</w:t>
      </w:r>
      <w:r w:rsidR="0074752B" w:rsidRPr="00D12895">
        <w:rPr>
          <w:bCs/>
          <w:iCs/>
        </w:rPr>
        <w:t xml:space="preserve"> </w:t>
      </w:r>
      <w:r w:rsidR="00900084" w:rsidRPr="00D12895">
        <w:rPr>
          <w:bCs/>
          <w:iCs/>
        </w:rPr>
        <w:t>{</w:t>
      </w:r>
      <w:r w:rsidR="0074752B" w:rsidRPr="00D12895">
        <w:rPr>
          <w:bCs/>
          <w:iCs/>
        </w:rPr>
        <w:t xml:space="preserve">subject to the </w:t>
      </w:r>
      <w:r w:rsidR="00900084" w:rsidRPr="00D12895">
        <w:rPr>
          <w:bCs/>
          <w:iCs/>
        </w:rPr>
        <w:t>M</w:t>
      </w:r>
      <w:r w:rsidR="0074752B" w:rsidRPr="00D12895">
        <w:rPr>
          <w:bCs/>
          <w:iCs/>
        </w:rPr>
        <w:t xml:space="preserve">inor </w:t>
      </w:r>
      <w:r w:rsidR="00900084" w:rsidRPr="00D12895">
        <w:rPr>
          <w:bCs/>
          <w:iCs/>
        </w:rPr>
        <w:t>N</w:t>
      </w:r>
      <w:r w:rsidR="0074752B" w:rsidRPr="00D12895">
        <w:rPr>
          <w:bCs/>
          <w:iCs/>
        </w:rPr>
        <w:t>on-</w:t>
      </w:r>
      <w:r w:rsidR="00900084" w:rsidRPr="00D12895">
        <w:rPr>
          <w:bCs/>
          <w:iCs/>
        </w:rPr>
        <w:t>C</w:t>
      </w:r>
      <w:r w:rsidR="0074752B" w:rsidRPr="00D12895">
        <w:rPr>
          <w:bCs/>
          <w:iCs/>
        </w:rPr>
        <w:t>onformities</w:t>
      </w:r>
      <w:r w:rsidR="00BD27AE" w:rsidRPr="00D12895">
        <w:rPr>
          <w:bCs/>
          <w:iCs/>
        </w:rPr>
        <w:t xml:space="preserve"> found in Annex A</w:t>
      </w:r>
      <w:r w:rsidR="0074752B" w:rsidRPr="00D12895">
        <w:rPr>
          <w:bCs/>
          <w:iCs/>
        </w:rPr>
        <w:t>}</w:t>
      </w:r>
      <w:r w:rsidR="00A70BC9" w:rsidRPr="00D12895">
        <w:rPr>
          <w:bCs/>
          <w:iCs/>
        </w:rPr>
        <w:t>[</w:t>
      </w:r>
      <w:r w:rsidR="0074752B" w:rsidRPr="00D12895">
        <w:rPr>
          <w:bCs/>
          <w:iCs/>
        </w:rPr>
        <w:t xml:space="preserve"> at the claimed Assurance Level(s)</w:t>
      </w:r>
      <w:r w:rsidR="00A70BC9" w:rsidRPr="00D12895">
        <w:rPr>
          <w:bCs/>
          <w:iCs/>
        </w:rPr>
        <w:t>{</w:t>
      </w:r>
      <w:r w:rsidR="00A70BC9" w:rsidRPr="005B28C3">
        <w:rPr>
          <w:bCs/>
          <w:i/>
          <w:iCs/>
        </w:rPr>
        <w:t>where ALs apply, else omit this phrase</w:t>
      </w:r>
      <w:r w:rsidR="00A70BC9" w:rsidRPr="00D12895">
        <w:rPr>
          <w:bCs/>
          <w:iCs/>
        </w:rPr>
        <w:t>}]</w:t>
      </w:r>
      <w:r w:rsidR="0074752B" w:rsidRPr="00D12895">
        <w:rPr>
          <w:bCs/>
          <w:iCs/>
        </w:rPr>
        <w:t>.</w:t>
      </w:r>
    </w:p>
    <w:p w14:paraId="16CE259D" w14:textId="3C430BD3" w:rsidR="0074752B" w:rsidRPr="00D12895" w:rsidRDefault="0074752B" w:rsidP="00BD27AE">
      <w:pPr>
        <w:pBdr>
          <w:top w:val="single" w:sz="12" w:space="1" w:color="C00000"/>
          <w:left w:val="single" w:sz="12" w:space="4" w:color="C00000"/>
          <w:bottom w:val="single" w:sz="12" w:space="1" w:color="C00000"/>
          <w:right w:val="single" w:sz="12" w:space="4" w:color="C00000"/>
        </w:pBdr>
        <w:spacing w:before="100" w:beforeAutospacing="1" w:after="240"/>
        <w:rPr>
          <w:bCs/>
          <w:color w:val="C00000"/>
        </w:rPr>
      </w:pPr>
      <w:r w:rsidRPr="00D12895">
        <w:rPr>
          <w:bCs/>
          <w:color w:val="C00000"/>
        </w:rPr>
        <w:t xml:space="preserve">WHEN </w:t>
      </w:r>
      <w:r w:rsidR="00BD27AE" w:rsidRPr="00D12895">
        <w:rPr>
          <w:bCs/>
          <w:color w:val="C00000"/>
        </w:rPr>
        <w:t xml:space="preserve">MINOR </w:t>
      </w:r>
      <w:r w:rsidRPr="00D12895">
        <w:rPr>
          <w:bCs/>
          <w:color w:val="C00000"/>
        </w:rPr>
        <w:t>NON-CONFORMITIES ARE FOUND but are considered to not</w:t>
      </w:r>
      <w:r w:rsidR="000D215E" w:rsidRPr="00D12895">
        <w:rPr>
          <w:bCs/>
          <w:color w:val="C00000"/>
        </w:rPr>
        <w:t xml:space="preserve"> </w:t>
      </w:r>
      <w:r w:rsidRPr="00D12895">
        <w:rPr>
          <w:bCs/>
          <w:color w:val="C00000"/>
        </w:rPr>
        <w:t xml:space="preserve">be </w:t>
      </w:r>
      <w:r w:rsidR="000D215E" w:rsidRPr="00D12895">
        <w:rPr>
          <w:bCs/>
          <w:color w:val="C00000"/>
        </w:rPr>
        <w:t xml:space="preserve">so significant </w:t>
      </w:r>
      <w:r w:rsidR="00BD27AE" w:rsidRPr="00D12895">
        <w:rPr>
          <w:bCs/>
          <w:color w:val="C00000"/>
        </w:rPr>
        <w:t xml:space="preserve">or numerous </w:t>
      </w:r>
      <w:r w:rsidR="000D215E" w:rsidRPr="00D12895">
        <w:rPr>
          <w:bCs/>
          <w:color w:val="C00000"/>
        </w:rPr>
        <w:t xml:space="preserve">as </w:t>
      </w:r>
      <w:r w:rsidRPr="00D12895">
        <w:rPr>
          <w:bCs/>
          <w:color w:val="C00000"/>
        </w:rPr>
        <w:t>to inhibit the Approval going forward</w:t>
      </w:r>
      <w:r w:rsidR="00BD27AE" w:rsidRPr="00D12895">
        <w:rPr>
          <w:bCs/>
          <w:color w:val="C00000"/>
        </w:rPr>
        <w:t xml:space="preserve">, then they should be recorded in Annex A.  It is the Assessor’s judgment as to whether to </w:t>
      </w:r>
      <w:r w:rsidR="00E30966" w:rsidRPr="005B28C3">
        <w:rPr>
          <w:bCs/>
          <w:color w:val="C00000"/>
        </w:rPr>
        <w:t>find overall conformity</w:t>
      </w:r>
      <w:r w:rsidR="00BD27AE" w:rsidRPr="00D12895">
        <w:rPr>
          <w:bCs/>
          <w:color w:val="C00000"/>
        </w:rPr>
        <w:t xml:space="preserve"> or not, depending on the number and nature of any Minor Non-Conformities.</w:t>
      </w:r>
    </w:p>
    <w:p w14:paraId="6BBD6128" w14:textId="06F238C1" w:rsidR="00BD27AE" w:rsidRPr="00D12895" w:rsidRDefault="00BD27AE" w:rsidP="009D0FE6">
      <w:pPr>
        <w:spacing w:after="0"/>
        <w:jc w:val="left"/>
        <w:rPr>
          <w:bCs/>
        </w:rPr>
      </w:pPr>
      <w:r w:rsidRPr="00D12895">
        <w:rPr>
          <w:bCs/>
          <w:color w:val="C00000"/>
        </w:rPr>
        <w:t xml:space="preserve">However, any MAJOR Non-Conformity should result in NO </w:t>
      </w:r>
      <w:r w:rsidR="00E30966" w:rsidRPr="005B28C3">
        <w:rPr>
          <w:bCs/>
          <w:color w:val="C00000"/>
        </w:rPr>
        <w:t xml:space="preserve">overall conformity </w:t>
      </w:r>
      <w:r w:rsidRPr="00D12895">
        <w:rPr>
          <w:bCs/>
          <w:color w:val="C00000"/>
        </w:rPr>
        <w:t xml:space="preserve">being </w:t>
      </w:r>
      <w:r w:rsidR="00E30966" w:rsidRPr="005B28C3">
        <w:rPr>
          <w:bCs/>
          <w:color w:val="C00000"/>
        </w:rPr>
        <w:t>found</w:t>
      </w:r>
      <w:r w:rsidRPr="00D12895">
        <w:rPr>
          <w:bCs/>
          <w:color w:val="C00000"/>
        </w:rPr>
        <w:t>.</w:t>
      </w:r>
      <w:r w:rsidR="00446C32" w:rsidRPr="00D12895">
        <w:rPr>
          <w:bCs/>
          <w:color w:val="C00000"/>
        </w:rPr>
        <w:t xml:space="preserve">  Since the principal purpose of the KAR is to provide the Applicant with evidence of their conformity with which to support their claim for Approval, so long as they have any Major Non-Conformities a KAR will have no </w:t>
      </w:r>
      <w:r w:rsidR="00446C32" w:rsidRPr="00D12895">
        <w:rPr>
          <w:bCs/>
          <w:color w:val="C00000"/>
        </w:rPr>
        <w:lastRenderedPageBreak/>
        <w:t>value in that regard.</w:t>
      </w:r>
      <w:r w:rsidR="002B0364" w:rsidRPr="00D12895">
        <w:rPr>
          <w:bCs/>
          <w:color w:val="C00000"/>
        </w:rPr>
        <w:t xml:space="preserve">  However, if an Assessor feels </w:t>
      </w:r>
      <w:r w:rsidR="00A70BC9" w:rsidRPr="00D12895">
        <w:rPr>
          <w:bCs/>
          <w:color w:val="C00000"/>
        </w:rPr>
        <w:t xml:space="preserve">that the preparation of a KAR </w:t>
      </w:r>
      <w:r w:rsidR="002B0364" w:rsidRPr="00D12895">
        <w:rPr>
          <w:bCs/>
          <w:color w:val="C00000"/>
        </w:rPr>
        <w:t xml:space="preserve">is a useful way to state formally their findings they are at liberty to adopt this </w:t>
      </w:r>
      <w:r w:rsidR="002B0364" w:rsidRPr="00D12895">
        <w:rPr>
          <w:bCs/>
          <w:i/>
          <w:color w:val="C00000"/>
        </w:rPr>
        <w:t>pro forma</w:t>
      </w:r>
      <w:r w:rsidR="002B0364" w:rsidRPr="00D12895">
        <w:rPr>
          <w:bCs/>
          <w:color w:val="C00000"/>
        </w:rPr>
        <w:t xml:space="preserve"> for the reporting on Major NCs and state </w:t>
      </w:r>
      <w:r w:rsidR="00913E78" w:rsidRPr="005B28C3">
        <w:rPr>
          <w:bCs/>
          <w:color w:val="C00000"/>
        </w:rPr>
        <w:t>recommendation finding of non-conformity</w:t>
      </w:r>
      <w:r w:rsidR="002B0364" w:rsidRPr="00D12895">
        <w:rPr>
          <w:bCs/>
          <w:color w:val="C00000"/>
        </w:rPr>
        <w:t>.</w:t>
      </w:r>
      <w:r w:rsidR="00BB7EA2" w:rsidRPr="00D12895">
        <w:rPr>
          <w:bCs/>
        </w:rPr>
        <w:t>{</w:t>
      </w:r>
      <w:r w:rsidR="00BB7EA2" w:rsidRPr="00D12895">
        <w:rPr>
          <w:color w:val="auto"/>
          <w:lang w:val="en-GB" w:eastAsia="en-GB"/>
        </w:rPr>
        <w:t xml:space="preserve">No additional non-Kantara Initiative Requirements or Profiles were </w:t>
      </w:r>
      <w:r w:rsidR="003E03EE" w:rsidRPr="00D12895">
        <w:rPr>
          <w:color w:val="auto"/>
          <w:lang w:val="en-GB" w:eastAsia="en-GB"/>
        </w:rPr>
        <w:t>included</w:t>
      </w:r>
      <w:r w:rsidR="00BB7EA2" w:rsidRPr="00D12895">
        <w:rPr>
          <w:color w:val="auto"/>
          <w:lang w:val="en-GB" w:eastAsia="en-GB"/>
        </w:rPr>
        <w:t xml:space="preserve"> in this assessment</w:t>
      </w:r>
      <w:r w:rsidR="00BB7EA2" w:rsidRPr="00D12895">
        <w:rPr>
          <w:bCs/>
        </w:rPr>
        <w:t xml:space="preserve"> | The </w:t>
      </w:r>
      <w:r w:rsidR="00BB7EA2" w:rsidRPr="00D12895">
        <w:rPr>
          <w:bCs/>
          <w:color w:val="auto"/>
        </w:rPr>
        <w:t xml:space="preserve">following additional non-Kantara Initiative Requirements or Profiles </w:t>
      </w:r>
      <w:r w:rsidR="00BB7EA2" w:rsidRPr="00D12895">
        <w:rPr>
          <w:color w:val="auto"/>
          <w:lang w:val="en-GB" w:eastAsia="en-GB"/>
        </w:rPr>
        <w:t xml:space="preserve">were </w:t>
      </w:r>
      <w:r w:rsidR="003E03EE" w:rsidRPr="00D12895">
        <w:rPr>
          <w:color w:val="auto"/>
          <w:lang w:val="en-GB" w:eastAsia="en-GB"/>
        </w:rPr>
        <w:t>included</w:t>
      </w:r>
      <w:r w:rsidR="00BB7EA2" w:rsidRPr="00D12895">
        <w:rPr>
          <w:color w:val="auto"/>
          <w:lang w:val="en-GB" w:eastAsia="en-GB"/>
        </w:rPr>
        <w:t xml:space="preserve"> in this assessment</w:t>
      </w:r>
      <w:r w:rsidR="00BB7EA2" w:rsidRPr="00D12895">
        <w:rPr>
          <w:bCs/>
        </w:rPr>
        <w:t xml:space="preserve"> «</w:t>
      </w:r>
      <w:r w:rsidR="00BB7EA2" w:rsidRPr="00D12895">
        <w:rPr>
          <w:bCs/>
          <w:i/>
        </w:rPr>
        <w:t>state as performed and outcome</w:t>
      </w:r>
      <w:r w:rsidR="00BB7EA2" w:rsidRPr="00D12895">
        <w:rPr>
          <w:bCs/>
        </w:rPr>
        <w:t>»}.</w:t>
      </w:r>
    </w:p>
    <w:p w14:paraId="6BE3E08E" w14:textId="435FF162" w:rsidR="0074752B" w:rsidRPr="00D12895" w:rsidRDefault="0074752B" w:rsidP="00A466E0">
      <w:pPr>
        <w:pBdr>
          <w:top w:val="single" w:sz="12" w:space="1" w:color="C00000"/>
          <w:left w:val="single" w:sz="12" w:space="4" w:color="C00000"/>
          <w:bottom w:val="single" w:sz="12" w:space="1" w:color="C00000"/>
          <w:right w:val="single" w:sz="12" w:space="4" w:color="C00000"/>
        </w:pBdr>
        <w:spacing w:before="100" w:beforeAutospacing="1" w:after="100" w:afterAutospacing="1"/>
        <w:rPr>
          <w:bCs/>
          <w:color w:val="C00000"/>
        </w:rPr>
      </w:pPr>
      <w:r w:rsidRPr="00D12895">
        <w:rPr>
          <w:bCs/>
          <w:color w:val="C00000"/>
        </w:rPr>
        <w:t>WHERE ADDITIONAL non-K</w:t>
      </w:r>
      <w:r w:rsidR="00A466E0" w:rsidRPr="00D12895">
        <w:rPr>
          <w:bCs/>
          <w:color w:val="C00000"/>
        </w:rPr>
        <w:t>antara Initiative</w:t>
      </w:r>
      <w:r w:rsidRPr="00D12895">
        <w:rPr>
          <w:bCs/>
          <w:color w:val="C00000"/>
        </w:rPr>
        <w:t xml:space="preserve"> Requiremen</w:t>
      </w:r>
      <w:r w:rsidR="00A466E0" w:rsidRPr="00D12895">
        <w:rPr>
          <w:bCs/>
          <w:color w:val="C00000"/>
        </w:rPr>
        <w:t>ts or Profiles (i.e. of a standard</w:t>
      </w:r>
      <w:r w:rsidRPr="00D12895">
        <w:rPr>
          <w:bCs/>
          <w:color w:val="C00000"/>
        </w:rPr>
        <w:t xml:space="preserve">) are requested for assessment by the Applicant, add any additional assessment </w:t>
      </w:r>
      <w:r w:rsidR="00A466E0" w:rsidRPr="00D12895">
        <w:rPr>
          <w:bCs/>
          <w:color w:val="C00000"/>
        </w:rPr>
        <w:t>determinations here (e.g. ICAM)</w:t>
      </w:r>
      <w:r w:rsidR="00446C32" w:rsidRPr="00D12895">
        <w:rPr>
          <w:bCs/>
          <w:color w:val="C00000"/>
        </w:rPr>
        <w:t xml:space="preserve"> or refer to them if made elsewhere and if relevant</w:t>
      </w:r>
      <w:r w:rsidR="00A466E0" w:rsidRPr="00D12895">
        <w:rPr>
          <w:bCs/>
          <w:color w:val="C00000"/>
        </w:rPr>
        <w:t>.</w:t>
      </w:r>
    </w:p>
    <w:p w14:paraId="21E11EA9" w14:textId="4FB547DB" w:rsidR="00BD27AE" w:rsidRPr="00D12895" w:rsidRDefault="00A466E0" w:rsidP="00A466E0">
      <w:pPr>
        <w:pBdr>
          <w:top w:val="single" w:sz="12" w:space="1" w:color="C00000"/>
          <w:left w:val="single" w:sz="12" w:space="4" w:color="C00000"/>
          <w:bottom w:val="single" w:sz="12" w:space="1" w:color="C00000"/>
          <w:right w:val="single" w:sz="12" w:space="4" w:color="C00000"/>
        </w:pBdr>
        <w:spacing w:before="100" w:beforeAutospacing="1" w:after="100" w:afterAutospacing="1"/>
        <w:rPr>
          <w:bCs/>
          <w:color w:val="C00000"/>
        </w:rPr>
      </w:pPr>
      <w:r w:rsidRPr="00D12895">
        <w:rPr>
          <w:bCs/>
          <w:color w:val="C00000"/>
        </w:rPr>
        <w:t>Whilst Kantara is open to such additional qualifications being cited on the same report it has no comment upon their validity or standing (in keeping with the recently-introduced assertion required of Assessors on the Accreditation application).</w:t>
      </w:r>
    </w:p>
    <w:p w14:paraId="669B21B6" w14:textId="277E4C55" w:rsidR="002B0364" w:rsidRPr="00D12895" w:rsidRDefault="002B0364" w:rsidP="00A466E0">
      <w:pPr>
        <w:pBdr>
          <w:top w:val="single" w:sz="12" w:space="1" w:color="C00000"/>
          <w:left w:val="single" w:sz="12" w:space="4" w:color="C00000"/>
          <w:bottom w:val="single" w:sz="12" w:space="1" w:color="C00000"/>
          <w:right w:val="single" w:sz="12" w:space="4" w:color="C00000"/>
        </w:pBdr>
        <w:spacing w:before="100" w:beforeAutospacing="1" w:after="100" w:afterAutospacing="1"/>
        <w:rPr>
          <w:bCs/>
          <w:color w:val="C00000"/>
        </w:rPr>
      </w:pPr>
      <w:r w:rsidRPr="00D12895">
        <w:rPr>
          <w:bCs/>
          <w:color w:val="C00000"/>
        </w:rPr>
        <w:t>Default is to state explicitly that none were exercised.</w:t>
      </w:r>
    </w:p>
    <w:p w14:paraId="24CFB4D0" w14:textId="0B61AAB1" w:rsidR="00A466E0" w:rsidRPr="00D12895" w:rsidRDefault="00BB7EA2" w:rsidP="009D0FE6">
      <w:pPr>
        <w:spacing w:after="0"/>
        <w:jc w:val="left"/>
        <w:rPr>
          <w:bCs/>
        </w:rPr>
      </w:pPr>
      <w:r w:rsidRPr="00D12895">
        <w:rPr>
          <w:bCs/>
        </w:rPr>
        <w:t>{Disclaimers etc.}</w:t>
      </w:r>
    </w:p>
    <w:p w14:paraId="202AA28C" w14:textId="42846FD6" w:rsidR="0074752B" w:rsidRPr="00D12895" w:rsidRDefault="00EE24E3" w:rsidP="00A466E0">
      <w:pPr>
        <w:pBdr>
          <w:top w:val="single" w:sz="12" w:space="1" w:color="C00000"/>
          <w:left w:val="single" w:sz="12" w:space="4" w:color="C00000"/>
          <w:bottom w:val="single" w:sz="12" w:space="1" w:color="C00000"/>
          <w:right w:val="single" w:sz="12" w:space="4" w:color="C00000"/>
        </w:pBdr>
        <w:spacing w:before="100" w:beforeAutospacing="1" w:after="100" w:afterAutospacing="1"/>
        <w:rPr>
          <w:rFonts w:ascii="Calibri" w:eastAsiaTheme="minorHAnsi" w:hAnsi="Calibri" w:cs="Calibri"/>
          <w:bCs/>
          <w:color w:val="C00000"/>
          <w:sz w:val="22"/>
          <w:szCs w:val="22"/>
        </w:rPr>
      </w:pPr>
      <w:r w:rsidRPr="00D12895">
        <w:rPr>
          <w:bCs/>
          <w:color w:val="C00000"/>
        </w:rPr>
        <w:t xml:space="preserve">Should the Assessor need to express any specific </w:t>
      </w:r>
      <w:r w:rsidR="00A466E0" w:rsidRPr="00D12895">
        <w:rPr>
          <w:bCs/>
          <w:color w:val="C00000"/>
        </w:rPr>
        <w:t>disclaimers and</w:t>
      </w:r>
      <w:r w:rsidR="00446C32" w:rsidRPr="00D12895">
        <w:rPr>
          <w:bCs/>
          <w:color w:val="C00000"/>
        </w:rPr>
        <w:t>/or</w:t>
      </w:r>
      <w:r w:rsidR="00A466E0" w:rsidRPr="00D12895">
        <w:rPr>
          <w:bCs/>
          <w:color w:val="C00000"/>
        </w:rPr>
        <w:t xml:space="preserve"> </w:t>
      </w:r>
      <w:proofErr w:type="gramStart"/>
      <w:r w:rsidR="00A466E0" w:rsidRPr="00D12895">
        <w:rPr>
          <w:bCs/>
          <w:color w:val="C00000"/>
        </w:rPr>
        <w:t xml:space="preserve">limitations </w:t>
      </w:r>
      <w:r w:rsidR="0074752B" w:rsidRPr="00D12895">
        <w:rPr>
          <w:bCs/>
          <w:color w:val="C00000"/>
        </w:rPr>
        <w:t xml:space="preserve"> </w:t>
      </w:r>
      <w:r w:rsidRPr="00D12895">
        <w:rPr>
          <w:bCs/>
          <w:color w:val="C00000"/>
        </w:rPr>
        <w:t>they</w:t>
      </w:r>
      <w:proofErr w:type="gramEnd"/>
      <w:r w:rsidRPr="00D12895">
        <w:rPr>
          <w:bCs/>
          <w:color w:val="C00000"/>
        </w:rPr>
        <w:t xml:space="preserve"> should </w:t>
      </w:r>
      <w:r w:rsidR="0074752B" w:rsidRPr="00D12895">
        <w:rPr>
          <w:bCs/>
          <w:color w:val="C00000"/>
        </w:rPr>
        <w:t>state them here</w:t>
      </w:r>
      <w:r w:rsidRPr="00D12895">
        <w:rPr>
          <w:bCs/>
          <w:color w:val="C00000"/>
        </w:rPr>
        <w:t xml:space="preserve">, but not in a manner which diminishes their assertions previously set forth by their </w:t>
      </w:r>
      <w:r w:rsidR="00446C32" w:rsidRPr="00D12895">
        <w:rPr>
          <w:bCs/>
          <w:color w:val="C00000"/>
        </w:rPr>
        <w:t xml:space="preserve">adherence to </w:t>
      </w:r>
      <w:r w:rsidRPr="00D12895">
        <w:rPr>
          <w:bCs/>
          <w:color w:val="C00000"/>
        </w:rPr>
        <w:t xml:space="preserve">required </w:t>
      </w:r>
      <w:r w:rsidRPr="00D12895">
        <w:rPr>
          <w:bCs/>
          <w:i/>
          <w:color w:val="C00000"/>
        </w:rPr>
        <w:t>pro forma</w:t>
      </w:r>
      <w:r w:rsidRPr="00D12895">
        <w:rPr>
          <w:bCs/>
          <w:color w:val="C00000"/>
        </w:rPr>
        <w:t xml:space="preserve"> clauses</w:t>
      </w:r>
      <w:r w:rsidR="0074752B" w:rsidRPr="00D12895">
        <w:rPr>
          <w:bCs/>
          <w:color w:val="C00000"/>
        </w:rPr>
        <w:t>.</w:t>
      </w:r>
    </w:p>
    <w:p w14:paraId="2C5C6D83" w14:textId="157801A2" w:rsidR="00BB7EA2" w:rsidRPr="00D12895" w:rsidRDefault="00BB7EA2" w:rsidP="00BB7EA2">
      <w:pPr>
        <w:spacing w:before="100" w:beforeAutospacing="1" w:after="100" w:afterAutospacing="1"/>
        <w:rPr>
          <w:b/>
          <w:bCs/>
        </w:rPr>
      </w:pPr>
      <w:r w:rsidRPr="00D12895">
        <w:rPr>
          <w:b/>
          <w:bCs/>
        </w:rPr>
        <w:br/>
      </w:r>
      <w:r w:rsidR="00A70BC9" w:rsidRPr="00D12895">
        <w:rPr>
          <w:b/>
          <w:bCs/>
        </w:rPr>
        <w:t>Lead Assessor</w:t>
      </w:r>
      <w:r w:rsidRPr="00D12895">
        <w:rPr>
          <w:b/>
          <w:bCs/>
        </w:rPr>
        <w:t>:</w:t>
      </w:r>
    </w:p>
    <w:tbl>
      <w:tblPr>
        <w:tblStyle w:val="TableGrid"/>
        <w:tblW w:w="0" w:type="auto"/>
        <w:tblInd w:w="5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19"/>
        <w:gridCol w:w="1417"/>
        <w:gridCol w:w="2977"/>
      </w:tblGrid>
      <w:tr w:rsidR="00BB7EA2" w:rsidRPr="00D12895" w14:paraId="170491AD" w14:textId="77777777" w:rsidTr="00DE3207">
        <w:tc>
          <w:tcPr>
            <w:tcW w:w="3119" w:type="dxa"/>
            <w:vAlign w:val="center"/>
          </w:tcPr>
          <w:p w14:paraId="70E1FCC0" w14:textId="2854DAC8" w:rsidR="00BB7EA2" w:rsidRPr="00D12895" w:rsidRDefault="00BB7EA2" w:rsidP="00297A85">
            <w:pPr>
              <w:spacing w:before="360" w:after="360"/>
              <w:jc w:val="center"/>
              <w:rPr>
                <w:bCs/>
                <w:color w:val="D9D9D9" w:themeColor="background1" w:themeShade="D9"/>
              </w:rPr>
            </w:pPr>
            <w:r w:rsidRPr="00D12895">
              <w:rPr>
                <w:bCs/>
                <w:color w:val="D9D9D9" w:themeColor="background1" w:themeShade="D9"/>
              </w:rPr>
              <w:t xml:space="preserve">Lead </w:t>
            </w:r>
            <w:r w:rsidR="00A70BC9" w:rsidRPr="00D12895">
              <w:rPr>
                <w:bCs/>
                <w:color w:val="D9D9D9" w:themeColor="background1" w:themeShade="D9"/>
              </w:rPr>
              <w:t>Assessor</w:t>
            </w:r>
            <w:r w:rsidRPr="00D12895">
              <w:rPr>
                <w:bCs/>
                <w:color w:val="D9D9D9" w:themeColor="background1" w:themeShade="D9"/>
              </w:rPr>
              <w:br/>
              <w:t>(name &amp; signature)</w:t>
            </w:r>
          </w:p>
        </w:tc>
        <w:tc>
          <w:tcPr>
            <w:tcW w:w="1417" w:type="dxa"/>
            <w:vAlign w:val="center"/>
          </w:tcPr>
          <w:p w14:paraId="28AA3A80" w14:textId="77777777" w:rsidR="00BB7EA2" w:rsidRPr="00D12895" w:rsidRDefault="00BB7EA2" w:rsidP="00DE3207">
            <w:pPr>
              <w:spacing w:before="360" w:after="360"/>
              <w:jc w:val="center"/>
              <w:rPr>
                <w:bCs/>
                <w:color w:val="D9D9D9" w:themeColor="background1" w:themeShade="D9"/>
              </w:rPr>
            </w:pPr>
            <w:r w:rsidRPr="00D12895">
              <w:rPr>
                <w:bCs/>
                <w:color w:val="D9D9D9" w:themeColor="background1" w:themeShade="D9"/>
              </w:rPr>
              <w:t>for</w:t>
            </w:r>
          </w:p>
        </w:tc>
        <w:tc>
          <w:tcPr>
            <w:tcW w:w="2977" w:type="dxa"/>
            <w:vAlign w:val="center"/>
          </w:tcPr>
          <w:p w14:paraId="259317CB" w14:textId="77777777" w:rsidR="00BB7EA2" w:rsidRPr="00D12895" w:rsidRDefault="00BB7EA2" w:rsidP="00DE3207">
            <w:pPr>
              <w:spacing w:before="360" w:after="360"/>
              <w:jc w:val="center"/>
              <w:rPr>
                <w:bCs/>
                <w:color w:val="D9D9D9" w:themeColor="background1" w:themeShade="D9"/>
              </w:rPr>
            </w:pPr>
            <w:r w:rsidRPr="00D12895">
              <w:rPr>
                <w:bCs/>
                <w:color w:val="D9D9D9" w:themeColor="background1" w:themeShade="D9"/>
              </w:rPr>
              <w:t>Assessor organization</w:t>
            </w:r>
            <w:r w:rsidRPr="00D12895">
              <w:rPr>
                <w:bCs/>
                <w:color w:val="D9D9D9" w:themeColor="background1" w:themeShade="D9"/>
              </w:rPr>
              <w:br/>
              <w:t>(name, &amp; management signature if required)</w:t>
            </w:r>
          </w:p>
        </w:tc>
      </w:tr>
    </w:tbl>
    <w:p w14:paraId="6E51F869" w14:textId="097CBFA8" w:rsidR="00A653E4" w:rsidRPr="00D12895" w:rsidRDefault="00A653E4" w:rsidP="00A653E4">
      <w:pPr>
        <w:pBdr>
          <w:top w:val="single" w:sz="12" w:space="1" w:color="C00000"/>
          <w:left w:val="single" w:sz="12" w:space="4" w:color="C00000"/>
          <w:bottom w:val="single" w:sz="12" w:space="1" w:color="C00000"/>
          <w:right w:val="single" w:sz="12" w:space="4" w:color="C00000"/>
        </w:pBdr>
        <w:spacing w:before="100" w:beforeAutospacing="1" w:after="100" w:afterAutospacing="1"/>
        <w:rPr>
          <w:rFonts w:ascii="Calibri" w:eastAsiaTheme="minorHAnsi" w:hAnsi="Calibri" w:cs="Calibri"/>
          <w:bCs/>
          <w:color w:val="C00000"/>
          <w:sz w:val="22"/>
          <w:szCs w:val="22"/>
        </w:rPr>
      </w:pPr>
      <w:r w:rsidRPr="00D12895">
        <w:rPr>
          <w:bCs/>
          <w:color w:val="C00000"/>
        </w:rPr>
        <w:t xml:space="preserve">The intention of the signature box </w:t>
      </w:r>
      <w:r w:rsidR="009D0FE6" w:rsidRPr="00D12895">
        <w:rPr>
          <w:bCs/>
          <w:color w:val="C00000"/>
        </w:rPr>
        <w:t xml:space="preserve">above </w:t>
      </w:r>
      <w:r w:rsidRPr="00D12895">
        <w:rPr>
          <w:bCs/>
          <w:color w:val="C00000"/>
        </w:rPr>
        <w:t xml:space="preserve">is that it may be used by those adept with quill and ink or by those who adopt the technology we’re trying to promote and who sign electronically.  In either case, simply overlay the ‘water-marked’ text with appropriate </w:t>
      </w:r>
      <w:r w:rsidR="00795879" w:rsidRPr="00D12895">
        <w:rPr>
          <w:bCs/>
          <w:color w:val="C00000"/>
        </w:rPr>
        <w:t>signature(s).</w:t>
      </w:r>
    </w:p>
    <w:p w14:paraId="2D57C61B" w14:textId="77777777" w:rsidR="00332321" w:rsidRDefault="00332321">
      <w:pPr>
        <w:autoSpaceDE/>
        <w:autoSpaceDN/>
        <w:adjustRightInd/>
        <w:spacing w:after="0"/>
        <w:jc w:val="left"/>
        <w:rPr>
          <w:b/>
          <w:bCs/>
          <w:iCs/>
        </w:rPr>
      </w:pPr>
      <w:r>
        <w:rPr>
          <w:b/>
          <w:bCs/>
          <w:iCs/>
        </w:rPr>
        <w:br w:type="page"/>
      </w:r>
    </w:p>
    <w:p w14:paraId="3F410306" w14:textId="6C1CF109" w:rsidR="001908F8" w:rsidRPr="005B28C3" w:rsidRDefault="001908F8" w:rsidP="005B28C3">
      <w:pPr>
        <w:jc w:val="left"/>
        <w:rPr>
          <w:b/>
          <w:bCs/>
        </w:rPr>
      </w:pPr>
      <w:r w:rsidRPr="005B28C3">
        <w:rPr>
          <w:b/>
          <w:bCs/>
          <w:iCs/>
        </w:rPr>
        <w:lastRenderedPageBreak/>
        <w:t>«</w:t>
      </w:r>
      <w:r w:rsidRPr="005B28C3">
        <w:rPr>
          <w:b/>
          <w:bCs/>
          <w:i/>
          <w:iCs/>
        </w:rPr>
        <w:t>Applicant’s name</w:t>
      </w:r>
      <w:r w:rsidRPr="005B28C3">
        <w:rPr>
          <w:b/>
          <w:bCs/>
          <w:iCs/>
        </w:rPr>
        <w:t>»’s</w:t>
      </w:r>
      <w:r w:rsidRPr="005B28C3">
        <w:rPr>
          <w:b/>
          <w:bCs/>
        </w:rPr>
        <w:t xml:space="preserve"> Assertion</w:t>
      </w:r>
    </w:p>
    <w:p w14:paraId="7970F914" w14:textId="679D4C82" w:rsidR="001908F8" w:rsidRPr="00D12895" w:rsidRDefault="001908F8" w:rsidP="005B28C3">
      <w:pPr>
        <w:jc w:val="left"/>
        <w:rPr>
          <w:bCs/>
        </w:rPr>
      </w:pPr>
      <w:r w:rsidRPr="00D12895">
        <w:rPr>
          <w:bCs/>
        </w:rPr>
        <w:t xml:space="preserve">By its submission of this KAR in support of </w:t>
      </w:r>
      <w:r w:rsidR="000B72F6">
        <w:rPr>
          <w:bCs/>
        </w:rPr>
        <w:t>an</w:t>
      </w:r>
      <w:r w:rsidRPr="00D12895">
        <w:rPr>
          <w:bCs/>
        </w:rPr>
        <w:t xml:space="preserve"> application for </w:t>
      </w:r>
      <w:r w:rsidR="005B28C3" w:rsidRPr="00D12895">
        <w:rPr>
          <w:bCs/>
          <w:iCs/>
        </w:rPr>
        <w:t>«</w:t>
      </w:r>
      <w:r w:rsidRPr="00D12895">
        <w:rPr>
          <w:bCs/>
        </w:rPr>
        <w:t>(re-)</w:t>
      </w:r>
      <w:r w:rsidR="005B28C3" w:rsidRPr="00D12895">
        <w:rPr>
          <w:bCs/>
          <w:iCs/>
        </w:rPr>
        <w:t>»</w:t>
      </w:r>
      <w:r w:rsidRPr="00D12895">
        <w:rPr>
          <w:bCs/>
        </w:rPr>
        <w:t xml:space="preserve">Approval of its </w:t>
      </w:r>
      <w:r w:rsidRPr="00D12895">
        <w:rPr>
          <w:bCs/>
          <w:iCs/>
        </w:rPr>
        <w:t>«</w:t>
      </w:r>
      <w:r w:rsidRPr="00D12895">
        <w:rPr>
          <w:bCs/>
          <w:i/>
          <w:iCs/>
        </w:rPr>
        <w:t>Applicant’s Service’s name</w:t>
      </w:r>
      <w:r w:rsidRPr="00D12895">
        <w:rPr>
          <w:bCs/>
          <w:iCs/>
        </w:rPr>
        <w:t>» service «</w:t>
      </w:r>
      <w:r w:rsidRPr="00D12895">
        <w:rPr>
          <w:bCs/>
          <w:i/>
          <w:iCs/>
        </w:rPr>
        <w:t>Applicant’s name</w:t>
      </w:r>
      <w:r w:rsidRPr="00D12895">
        <w:rPr>
          <w:bCs/>
          <w:iCs/>
        </w:rPr>
        <w:t>»</w:t>
      </w:r>
      <w:r w:rsidRPr="00D12895">
        <w:rPr>
          <w:bCs/>
        </w:rPr>
        <w:t xml:space="preserve"> hereby attests that it has presented to the Assessor all material evidence with regard to the scope of the assessment and that it accepts the Assessor’s findings and </w:t>
      </w:r>
      <w:r w:rsidR="000B72F6">
        <w:rPr>
          <w:bCs/>
        </w:rPr>
        <w:t>any</w:t>
      </w:r>
      <w:r w:rsidRPr="00D12895">
        <w:rPr>
          <w:bCs/>
        </w:rPr>
        <w:t xml:space="preserve"> obligations upon </w:t>
      </w:r>
      <w:r w:rsidRPr="00D12895">
        <w:rPr>
          <w:bCs/>
          <w:iCs/>
        </w:rPr>
        <w:t>«</w:t>
      </w:r>
      <w:r w:rsidRPr="00D12895">
        <w:rPr>
          <w:bCs/>
          <w:i/>
          <w:iCs/>
        </w:rPr>
        <w:t>Applicant’s name</w:t>
      </w:r>
      <w:r w:rsidRPr="00D12895">
        <w:rPr>
          <w:bCs/>
          <w:iCs/>
        </w:rPr>
        <w:t>»</w:t>
      </w:r>
      <w:r w:rsidRPr="00D12895">
        <w:rPr>
          <w:bCs/>
        </w:rPr>
        <w:t xml:space="preserve"> expressed herein.</w:t>
      </w:r>
    </w:p>
    <w:p w14:paraId="55EF8CC2" w14:textId="07553D4A" w:rsidR="001908F8" w:rsidRPr="00D12895" w:rsidRDefault="001908F8" w:rsidP="001908F8">
      <w:pPr>
        <w:spacing w:before="100" w:beforeAutospacing="1" w:after="100" w:afterAutospacing="1"/>
        <w:rPr>
          <w:b/>
          <w:bCs/>
        </w:rPr>
      </w:pPr>
    </w:p>
    <w:tbl>
      <w:tblPr>
        <w:tblStyle w:val="TableGrid"/>
        <w:tblW w:w="0" w:type="auto"/>
        <w:tblInd w:w="5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19"/>
        <w:gridCol w:w="1417"/>
        <w:gridCol w:w="2977"/>
      </w:tblGrid>
      <w:tr w:rsidR="000B72F6" w:rsidRPr="000B72F6" w14:paraId="5EEDA794" w14:textId="77777777" w:rsidTr="0025207E">
        <w:tc>
          <w:tcPr>
            <w:tcW w:w="3119" w:type="dxa"/>
            <w:vAlign w:val="center"/>
          </w:tcPr>
          <w:p w14:paraId="61F7C637" w14:textId="259F020F" w:rsidR="001908F8" w:rsidRPr="000B72F6" w:rsidRDefault="000B72F6" w:rsidP="005B28C3">
            <w:pPr>
              <w:spacing w:before="360" w:after="360"/>
              <w:jc w:val="center"/>
              <w:rPr>
                <w:bCs/>
                <w:color w:val="D9D9D9" w:themeColor="background1" w:themeShade="D9"/>
              </w:rPr>
            </w:pPr>
            <w:r w:rsidRPr="005B28C3">
              <w:rPr>
                <w:bCs/>
                <w:iCs/>
                <w:color w:val="D9D9D9" w:themeColor="background1" w:themeShade="D9"/>
              </w:rPr>
              <w:t>«</w:t>
            </w:r>
            <w:r w:rsidRPr="005B28C3">
              <w:rPr>
                <w:bCs/>
                <w:i/>
                <w:iCs/>
                <w:color w:val="D9D9D9" w:themeColor="background1" w:themeShade="D9"/>
              </w:rPr>
              <w:t xml:space="preserve">Applicant’s </w:t>
            </w:r>
            <w:r w:rsidRPr="005B28C3">
              <w:rPr>
                <w:bCs/>
                <w:i/>
                <w:color w:val="D9D9D9" w:themeColor="background1" w:themeShade="D9"/>
              </w:rPr>
              <w:t>representative</w:t>
            </w:r>
            <w:r w:rsidRPr="005B28C3">
              <w:rPr>
                <w:bCs/>
                <w:iCs/>
                <w:color w:val="D9D9D9" w:themeColor="background1" w:themeShade="D9"/>
              </w:rPr>
              <w:t>»</w:t>
            </w:r>
            <w:r w:rsidR="001908F8" w:rsidRPr="000B72F6">
              <w:rPr>
                <w:bCs/>
                <w:color w:val="D9D9D9" w:themeColor="background1" w:themeShade="D9"/>
              </w:rPr>
              <w:t xml:space="preserve"> </w:t>
            </w:r>
            <w:r w:rsidR="001908F8" w:rsidRPr="000B72F6">
              <w:rPr>
                <w:bCs/>
                <w:color w:val="D9D9D9" w:themeColor="background1" w:themeShade="D9"/>
              </w:rPr>
              <w:br/>
              <w:t>(</w:t>
            </w:r>
            <w:proofErr w:type="spellStart"/>
            <w:r w:rsidR="001908F8" w:rsidRPr="000B72F6">
              <w:rPr>
                <w:bCs/>
                <w:color w:val="D9D9D9" w:themeColor="background1" w:themeShade="D9"/>
              </w:rPr>
              <w:t>name</w:t>
            </w:r>
            <w:r w:rsidRPr="000B72F6">
              <w:rPr>
                <w:bCs/>
                <w:color w:val="D9D9D9" w:themeColor="background1" w:themeShade="D9"/>
              </w:rPr>
              <w:t>&amp;role</w:t>
            </w:r>
            <w:proofErr w:type="spellEnd"/>
            <w:r w:rsidRPr="000B72F6">
              <w:rPr>
                <w:bCs/>
                <w:color w:val="D9D9D9" w:themeColor="background1" w:themeShade="D9"/>
              </w:rPr>
              <w:t xml:space="preserve">, </w:t>
            </w:r>
            <w:r w:rsidR="001908F8" w:rsidRPr="000B72F6">
              <w:rPr>
                <w:bCs/>
                <w:color w:val="D9D9D9" w:themeColor="background1" w:themeShade="D9"/>
              </w:rPr>
              <w:t xml:space="preserve"> signature)</w:t>
            </w:r>
          </w:p>
        </w:tc>
        <w:tc>
          <w:tcPr>
            <w:tcW w:w="1417" w:type="dxa"/>
            <w:vAlign w:val="center"/>
          </w:tcPr>
          <w:p w14:paraId="797C20B7" w14:textId="77777777" w:rsidR="001908F8" w:rsidRPr="000B72F6" w:rsidRDefault="001908F8" w:rsidP="0025207E">
            <w:pPr>
              <w:spacing w:before="360" w:after="360"/>
              <w:jc w:val="center"/>
              <w:rPr>
                <w:bCs/>
                <w:color w:val="D9D9D9" w:themeColor="background1" w:themeShade="D9"/>
              </w:rPr>
            </w:pPr>
            <w:r w:rsidRPr="000B72F6">
              <w:rPr>
                <w:bCs/>
                <w:color w:val="D9D9D9" w:themeColor="background1" w:themeShade="D9"/>
              </w:rPr>
              <w:t>for</w:t>
            </w:r>
          </w:p>
        </w:tc>
        <w:tc>
          <w:tcPr>
            <w:tcW w:w="2977" w:type="dxa"/>
            <w:vAlign w:val="center"/>
          </w:tcPr>
          <w:p w14:paraId="2A000C89" w14:textId="6BA1BCCF" w:rsidR="001908F8" w:rsidRPr="000B72F6" w:rsidRDefault="000B72F6" w:rsidP="000B72F6">
            <w:pPr>
              <w:spacing w:before="360" w:after="360"/>
              <w:jc w:val="center"/>
              <w:rPr>
                <w:bCs/>
                <w:color w:val="D9D9D9" w:themeColor="background1" w:themeShade="D9"/>
              </w:rPr>
            </w:pPr>
            <w:r w:rsidRPr="005B28C3">
              <w:rPr>
                <w:bCs/>
                <w:iCs/>
                <w:color w:val="D9D9D9" w:themeColor="background1" w:themeShade="D9"/>
              </w:rPr>
              <w:t>«</w:t>
            </w:r>
            <w:r w:rsidRPr="005B28C3">
              <w:rPr>
                <w:bCs/>
                <w:i/>
                <w:iCs/>
                <w:color w:val="D9D9D9" w:themeColor="background1" w:themeShade="D9"/>
              </w:rPr>
              <w:t>Applicant’s name</w:t>
            </w:r>
            <w:r w:rsidRPr="005B28C3">
              <w:rPr>
                <w:bCs/>
                <w:iCs/>
                <w:color w:val="D9D9D9" w:themeColor="background1" w:themeShade="D9"/>
              </w:rPr>
              <w:t>»</w:t>
            </w:r>
          </w:p>
        </w:tc>
      </w:tr>
    </w:tbl>
    <w:p w14:paraId="5E42C15D" w14:textId="77777777" w:rsidR="001908F8" w:rsidRPr="00D12895" w:rsidRDefault="001908F8" w:rsidP="001908F8">
      <w:pPr>
        <w:pBdr>
          <w:top w:val="single" w:sz="12" w:space="1" w:color="C00000"/>
          <w:left w:val="single" w:sz="12" w:space="4" w:color="C00000"/>
          <w:bottom w:val="single" w:sz="12" w:space="1" w:color="C00000"/>
          <w:right w:val="single" w:sz="12" w:space="4" w:color="C00000"/>
        </w:pBdr>
        <w:spacing w:before="100" w:beforeAutospacing="1" w:after="100" w:afterAutospacing="1"/>
        <w:rPr>
          <w:rFonts w:ascii="Calibri" w:eastAsiaTheme="minorHAnsi" w:hAnsi="Calibri" w:cs="Calibri"/>
          <w:bCs/>
          <w:color w:val="C00000"/>
          <w:sz w:val="22"/>
          <w:szCs w:val="22"/>
        </w:rPr>
      </w:pPr>
      <w:r w:rsidRPr="00D12895">
        <w:rPr>
          <w:bCs/>
          <w:color w:val="C00000"/>
        </w:rPr>
        <w:t>The intention of the signature box above is that it may be used by those adept with quill and ink or by those who adopt the technology we’re trying to promote and who sign electronically.  In either case, simply overlay the ‘water-marked’ text with appropriate signature(s).</w:t>
      </w:r>
    </w:p>
    <w:p w14:paraId="36A00503" w14:textId="77777777" w:rsidR="00A653E4" w:rsidRPr="00D12895" w:rsidRDefault="00A653E4" w:rsidP="0000224A">
      <w:pPr>
        <w:spacing w:before="100" w:beforeAutospacing="1" w:after="100" w:afterAutospacing="1"/>
        <w:rPr>
          <w:bCs/>
        </w:rPr>
      </w:pPr>
    </w:p>
    <w:p w14:paraId="42BDDDE0" w14:textId="0B6B3919" w:rsidR="0000224A" w:rsidRPr="00D12895" w:rsidRDefault="0000224A">
      <w:pPr>
        <w:autoSpaceDE/>
        <w:autoSpaceDN/>
        <w:adjustRightInd/>
        <w:spacing w:after="0"/>
        <w:jc w:val="left"/>
        <w:rPr>
          <w:sz w:val="18"/>
          <w:szCs w:val="18"/>
        </w:rPr>
      </w:pPr>
      <w:r w:rsidRPr="00D12895">
        <w:rPr>
          <w:sz w:val="18"/>
          <w:szCs w:val="18"/>
        </w:rPr>
        <w:t xml:space="preserve">Note:  Any acronyms or special terms used in this report may be found in the Kantara Initiative IAF </w:t>
      </w:r>
      <w:r w:rsidR="005B0630" w:rsidRPr="00D12895">
        <w:rPr>
          <w:sz w:val="18"/>
          <w:szCs w:val="18"/>
        </w:rPr>
        <w:t>Glossary</w:t>
      </w:r>
      <w:r w:rsidRPr="00D12895">
        <w:rPr>
          <w:sz w:val="18"/>
          <w:szCs w:val="18"/>
        </w:rPr>
        <w:t xml:space="preserve"> «</w:t>
      </w:r>
      <w:r w:rsidRPr="00D12895">
        <w:rPr>
          <w:i/>
          <w:sz w:val="18"/>
          <w:szCs w:val="18"/>
        </w:rPr>
        <w:t>and add any other sources if absolutely necessary</w:t>
      </w:r>
      <w:r w:rsidRPr="00D12895">
        <w:rPr>
          <w:sz w:val="18"/>
          <w:szCs w:val="18"/>
        </w:rPr>
        <w:t>»</w:t>
      </w:r>
      <w:r w:rsidR="00446C32" w:rsidRPr="00D12895">
        <w:rPr>
          <w:sz w:val="18"/>
          <w:szCs w:val="18"/>
        </w:rPr>
        <w:t>.</w:t>
      </w:r>
    </w:p>
    <w:p w14:paraId="25681487" w14:textId="77777777" w:rsidR="00A466E0" w:rsidRPr="00D12895" w:rsidRDefault="00A466E0">
      <w:pPr>
        <w:autoSpaceDE/>
        <w:autoSpaceDN/>
        <w:adjustRightInd/>
        <w:spacing w:after="0"/>
        <w:jc w:val="left"/>
        <w:rPr>
          <w:b/>
          <w:sz w:val="28"/>
          <w:szCs w:val="28"/>
        </w:rPr>
      </w:pPr>
      <w:r w:rsidRPr="00D12895">
        <w:rPr>
          <w:b/>
          <w:sz w:val="28"/>
          <w:szCs w:val="28"/>
        </w:rPr>
        <w:br w:type="page"/>
      </w:r>
    </w:p>
    <w:p w14:paraId="1E472B55" w14:textId="662B47A3" w:rsidR="00BD27AE" w:rsidRPr="00D12895" w:rsidRDefault="00BD27AE" w:rsidP="00A466E0">
      <w:pPr>
        <w:pStyle w:val="Heading1-nonumbers"/>
      </w:pPr>
      <w:bookmarkStart w:id="89" w:name="_Toc505092497"/>
      <w:r w:rsidRPr="00D12895">
        <w:lastRenderedPageBreak/>
        <w:t>Annex A:  Identified Minor Non-Conformities</w:t>
      </w:r>
      <w:bookmarkEnd w:id="89"/>
    </w:p>
    <w:p w14:paraId="1EF70F5D" w14:textId="765BAAC3" w:rsidR="00BB7EA2" w:rsidRPr="00D12895" w:rsidRDefault="00BD27AE" w:rsidP="00BD27AE">
      <w:pPr>
        <w:pBdr>
          <w:top w:val="single" w:sz="12" w:space="1" w:color="C00000"/>
          <w:left w:val="single" w:sz="12" w:space="4" w:color="C00000"/>
          <w:bottom w:val="single" w:sz="12" w:space="1" w:color="C00000"/>
          <w:right w:val="single" w:sz="12" w:space="4" w:color="C00000"/>
        </w:pBdr>
        <w:spacing w:before="100" w:beforeAutospacing="1" w:after="240"/>
        <w:rPr>
          <w:bCs/>
          <w:color w:val="C00000"/>
        </w:rPr>
      </w:pPr>
      <w:r w:rsidRPr="00D12895">
        <w:rPr>
          <w:bCs/>
          <w:color w:val="C00000"/>
        </w:rPr>
        <w:t>If Minor Non-Conformities are found they should be identified here using the format set out in the table below.</w:t>
      </w:r>
    </w:p>
    <w:p w14:paraId="3AABC990" w14:textId="4271FB4C" w:rsidR="00BD27AE" w:rsidRPr="00D12895" w:rsidRDefault="00A466E0" w:rsidP="00BD27AE">
      <w:pPr>
        <w:pBdr>
          <w:top w:val="single" w:sz="12" w:space="1" w:color="C00000"/>
          <w:left w:val="single" w:sz="12" w:space="4" w:color="C00000"/>
          <w:bottom w:val="single" w:sz="12" w:space="1" w:color="C00000"/>
          <w:right w:val="single" w:sz="12" w:space="4" w:color="C00000"/>
        </w:pBdr>
        <w:spacing w:before="100" w:beforeAutospacing="1" w:after="240"/>
        <w:rPr>
          <w:bCs/>
          <w:color w:val="C00000"/>
        </w:rPr>
      </w:pPr>
      <w:r w:rsidRPr="00D12895">
        <w:rPr>
          <w:bCs/>
          <w:color w:val="C00000"/>
        </w:rPr>
        <w:t xml:space="preserve">This Annex should otherwise be deleted </w:t>
      </w:r>
      <w:r w:rsidR="00795879" w:rsidRPr="00D12895">
        <w:rPr>
          <w:bCs/>
          <w:color w:val="C00000"/>
        </w:rPr>
        <w:t xml:space="preserve">OR, should </w:t>
      </w:r>
      <w:r w:rsidR="00400734" w:rsidRPr="00D12895">
        <w:rPr>
          <w:bCs/>
          <w:color w:val="C00000"/>
        </w:rPr>
        <w:t xml:space="preserve">Annex B </w:t>
      </w:r>
      <w:r w:rsidR="00EF7F8C" w:rsidRPr="00D12895">
        <w:rPr>
          <w:bCs/>
          <w:color w:val="C00000"/>
        </w:rPr>
        <w:t xml:space="preserve">or C </w:t>
      </w:r>
      <w:r w:rsidR="00400734" w:rsidRPr="00D12895">
        <w:rPr>
          <w:bCs/>
          <w:color w:val="C00000"/>
        </w:rPr>
        <w:t xml:space="preserve">be employed or </w:t>
      </w:r>
      <w:r w:rsidR="00795879" w:rsidRPr="00D12895">
        <w:rPr>
          <w:bCs/>
          <w:color w:val="C00000"/>
        </w:rPr>
        <w:t>the Assessor ha</w:t>
      </w:r>
      <w:r w:rsidR="00885BF2">
        <w:rPr>
          <w:bCs/>
          <w:color w:val="C00000"/>
        </w:rPr>
        <w:t>s</w:t>
      </w:r>
      <w:r w:rsidR="00795879" w:rsidRPr="00D12895">
        <w:rPr>
          <w:bCs/>
          <w:color w:val="C00000"/>
        </w:rPr>
        <w:t xml:space="preserve"> any need of an Annex for any other purpose,</w:t>
      </w:r>
      <w:r w:rsidR="00400734" w:rsidRPr="00D12895">
        <w:rPr>
          <w:bCs/>
          <w:color w:val="C00000"/>
        </w:rPr>
        <w:t xml:space="preserve"> be</w:t>
      </w:r>
      <w:r w:rsidR="00795879" w:rsidRPr="00D12895">
        <w:rPr>
          <w:bCs/>
          <w:color w:val="C00000"/>
        </w:rPr>
        <w:t xml:space="preserve"> </w:t>
      </w:r>
      <w:r w:rsidRPr="00D12895">
        <w:rPr>
          <w:bCs/>
          <w:color w:val="C00000"/>
        </w:rPr>
        <w:t>marked ‘NOT USED’.</w:t>
      </w:r>
    </w:p>
    <w:p w14:paraId="0283AC09" w14:textId="77777777" w:rsidR="00BD27AE" w:rsidRPr="00D12895" w:rsidRDefault="00BD27AE" w:rsidP="0074752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0"/>
        <w:gridCol w:w="4292"/>
        <w:gridCol w:w="4678"/>
      </w:tblGrid>
      <w:tr w:rsidR="001908F8" w:rsidRPr="00D12895" w14:paraId="6CFE316C" w14:textId="77777777" w:rsidTr="001908F8">
        <w:tc>
          <w:tcPr>
            <w:tcW w:w="1770" w:type="dxa"/>
            <w:tcBorders>
              <w:top w:val="single" w:sz="12" w:space="0" w:color="auto"/>
              <w:bottom w:val="single" w:sz="12" w:space="0" w:color="auto"/>
            </w:tcBorders>
            <w:tcMar>
              <w:top w:w="0" w:type="dxa"/>
              <w:left w:w="108" w:type="dxa"/>
              <w:bottom w:w="0" w:type="dxa"/>
              <w:right w:w="108" w:type="dxa"/>
            </w:tcMar>
            <w:vAlign w:val="center"/>
            <w:hideMark/>
          </w:tcPr>
          <w:p w14:paraId="754C160B" w14:textId="77777777" w:rsidR="001908F8" w:rsidRPr="00D12895" w:rsidRDefault="001908F8" w:rsidP="00297A85">
            <w:pPr>
              <w:spacing w:before="100" w:beforeAutospacing="1" w:after="100" w:afterAutospacing="1"/>
              <w:jc w:val="center"/>
              <w:rPr>
                <w:rFonts w:ascii="Calibri" w:eastAsiaTheme="minorHAnsi" w:hAnsi="Calibri" w:cs="Calibri"/>
                <w:b/>
                <w:bCs/>
                <w:sz w:val="22"/>
                <w:szCs w:val="22"/>
              </w:rPr>
            </w:pPr>
            <w:r w:rsidRPr="00D12895">
              <w:rPr>
                <w:b/>
                <w:bCs/>
              </w:rPr>
              <w:t>SAC Ref.</w:t>
            </w:r>
          </w:p>
        </w:tc>
        <w:tc>
          <w:tcPr>
            <w:tcW w:w="4292" w:type="dxa"/>
            <w:tcBorders>
              <w:top w:val="single" w:sz="12" w:space="0" w:color="auto"/>
              <w:bottom w:val="single" w:sz="12" w:space="0" w:color="auto"/>
            </w:tcBorders>
            <w:tcMar>
              <w:top w:w="0" w:type="dxa"/>
              <w:left w:w="108" w:type="dxa"/>
              <w:bottom w:w="0" w:type="dxa"/>
              <w:right w:w="108" w:type="dxa"/>
            </w:tcMar>
            <w:vAlign w:val="center"/>
            <w:hideMark/>
          </w:tcPr>
          <w:p w14:paraId="02F6A4E0" w14:textId="77777777" w:rsidR="001908F8" w:rsidRPr="00D12895" w:rsidRDefault="001908F8" w:rsidP="00297A85">
            <w:pPr>
              <w:spacing w:before="100" w:beforeAutospacing="1" w:after="100" w:afterAutospacing="1"/>
              <w:jc w:val="center"/>
              <w:rPr>
                <w:rFonts w:ascii="Calibri" w:eastAsiaTheme="minorHAnsi" w:hAnsi="Calibri" w:cs="Calibri"/>
                <w:b/>
                <w:bCs/>
                <w:sz w:val="22"/>
                <w:szCs w:val="22"/>
              </w:rPr>
            </w:pPr>
            <w:r w:rsidRPr="00D12895">
              <w:rPr>
                <w:b/>
                <w:bCs/>
              </w:rPr>
              <w:t>Min NC Observation</w:t>
            </w:r>
          </w:p>
        </w:tc>
        <w:tc>
          <w:tcPr>
            <w:tcW w:w="4678" w:type="dxa"/>
            <w:tcBorders>
              <w:top w:val="single" w:sz="12" w:space="0" w:color="auto"/>
              <w:bottom w:val="single" w:sz="12" w:space="0" w:color="auto"/>
            </w:tcBorders>
            <w:tcMar>
              <w:top w:w="0" w:type="dxa"/>
              <w:left w:w="108" w:type="dxa"/>
              <w:bottom w:w="0" w:type="dxa"/>
              <w:right w:w="108" w:type="dxa"/>
            </w:tcMar>
            <w:vAlign w:val="center"/>
            <w:hideMark/>
          </w:tcPr>
          <w:p w14:paraId="4B1FE909" w14:textId="5A5A04B8" w:rsidR="001908F8" w:rsidRPr="00D12895" w:rsidRDefault="001908F8" w:rsidP="00297A85">
            <w:pPr>
              <w:spacing w:before="100" w:beforeAutospacing="1" w:after="100" w:afterAutospacing="1"/>
              <w:jc w:val="center"/>
              <w:rPr>
                <w:rFonts w:ascii="Calibri" w:eastAsiaTheme="minorHAnsi" w:hAnsi="Calibri" w:cs="Calibri"/>
                <w:b/>
                <w:bCs/>
                <w:sz w:val="22"/>
                <w:szCs w:val="22"/>
              </w:rPr>
            </w:pPr>
            <w:r w:rsidRPr="00D12895">
              <w:rPr>
                <w:b/>
                <w:bCs/>
              </w:rPr>
              <w:t>Agreed Remedial Action by SP &amp; deadline</w:t>
            </w:r>
          </w:p>
        </w:tc>
      </w:tr>
      <w:tr w:rsidR="001908F8" w:rsidRPr="00D12895" w14:paraId="47E71B0D" w14:textId="77777777" w:rsidTr="001908F8">
        <w:tc>
          <w:tcPr>
            <w:tcW w:w="1770" w:type="dxa"/>
            <w:tcBorders>
              <w:top w:val="single" w:sz="12" w:space="0" w:color="auto"/>
            </w:tcBorders>
            <w:tcMar>
              <w:top w:w="0" w:type="dxa"/>
              <w:left w:w="108" w:type="dxa"/>
              <w:bottom w:w="0" w:type="dxa"/>
              <w:right w:w="108" w:type="dxa"/>
            </w:tcMar>
            <w:hideMark/>
          </w:tcPr>
          <w:p w14:paraId="6EBAEBF3" w14:textId="29E319F4" w:rsidR="001908F8" w:rsidRPr="00D12895" w:rsidRDefault="001908F8" w:rsidP="001908F8">
            <w:pPr>
              <w:spacing w:before="100" w:beforeAutospacing="1" w:after="100" w:afterAutospacing="1"/>
              <w:rPr>
                <w:rFonts w:ascii="Calibri" w:eastAsiaTheme="minorHAnsi" w:hAnsi="Calibri" w:cs="Calibri"/>
                <w:b/>
                <w:bCs/>
                <w:sz w:val="22"/>
                <w:szCs w:val="22"/>
              </w:rPr>
            </w:pPr>
            <w:r w:rsidRPr="00D12895">
              <w:rPr>
                <w:b/>
                <w:bCs/>
              </w:rPr>
              <w:t>{SAC</w:t>
            </w:r>
            <w:r w:rsidR="000B72F6">
              <w:rPr>
                <w:b/>
                <w:bCs/>
              </w:rPr>
              <w:t>:</w:t>
            </w:r>
            <w:r w:rsidRPr="00D12895">
              <w:rPr>
                <w:b/>
                <w:bCs/>
              </w:rPr>
              <w:t>+tag}</w:t>
            </w:r>
          </w:p>
        </w:tc>
        <w:tc>
          <w:tcPr>
            <w:tcW w:w="4292" w:type="dxa"/>
            <w:tcBorders>
              <w:top w:val="single" w:sz="12" w:space="0" w:color="auto"/>
            </w:tcBorders>
            <w:tcMar>
              <w:top w:w="0" w:type="dxa"/>
              <w:left w:w="108" w:type="dxa"/>
              <w:bottom w:w="0" w:type="dxa"/>
              <w:right w:w="108" w:type="dxa"/>
            </w:tcMar>
          </w:tcPr>
          <w:p w14:paraId="13FAC2E4" w14:textId="77777777" w:rsidR="001908F8" w:rsidRPr="00D12895" w:rsidRDefault="001908F8" w:rsidP="00D07C23">
            <w:pPr>
              <w:spacing w:before="100" w:beforeAutospacing="1" w:after="100" w:afterAutospacing="1"/>
              <w:rPr>
                <w:rFonts w:ascii="Calibri" w:eastAsiaTheme="minorHAnsi" w:hAnsi="Calibri" w:cs="Calibri"/>
                <w:b/>
                <w:bCs/>
                <w:sz w:val="22"/>
                <w:szCs w:val="22"/>
              </w:rPr>
            </w:pPr>
          </w:p>
        </w:tc>
        <w:tc>
          <w:tcPr>
            <w:tcW w:w="4678" w:type="dxa"/>
            <w:tcBorders>
              <w:top w:val="single" w:sz="12" w:space="0" w:color="auto"/>
            </w:tcBorders>
            <w:tcMar>
              <w:top w:w="0" w:type="dxa"/>
              <w:left w:w="108" w:type="dxa"/>
              <w:bottom w:w="0" w:type="dxa"/>
              <w:right w:w="108" w:type="dxa"/>
            </w:tcMar>
          </w:tcPr>
          <w:p w14:paraId="161350D0" w14:textId="77777777" w:rsidR="001908F8" w:rsidRPr="00D12895" w:rsidRDefault="001908F8" w:rsidP="00D07C23">
            <w:pPr>
              <w:spacing w:before="100" w:beforeAutospacing="1" w:after="100" w:afterAutospacing="1"/>
              <w:rPr>
                <w:rFonts w:ascii="Calibri" w:eastAsiaTheme="minorHAnsi" w:hAnsi="Calibri" w:cs="Calibri"/>
                <w:b/>
                <w:bCs/>
                <w:sz w:val="22"/>
                <w:szCs w:val="22"/>
              </w:rPr>
            </w:pPr>
          </w:p>
        </w:tc>
      </w:tr>
      <w:tr w:rsidR="001908F8" w:rsidRPr="00D12895" w14:paraId="7B47C8DC" w14:textId="77777777" w:rsidTr="001908F8">
        <w:tc>
          <w:tcPr>
            <w:tcW w:w="1770" w:type="dxa"/>
            <w:tcMar>
              <w:top w:w="0" w:type="dxa"/>
              <w:left w:w="108" w:type="dxa"/>
              <w:bottom w:w="0" w:type="dxa"/>
              <w:right w:w="108" w:type="dxa"/>
            </w:tcMar>
            <w:hideMark/>
          </w:tcPr>
          <w:p w14:paraId="080590ED" w14:textId="66AF3AED" w:rsidR="001908F8" w:rsidRPr="00D12895" w:rsidRDefault="001908F8" w:rsidP="00D07C23">
            <w:pPr>
              <w:spacing w:before="100" w:beforeAutospacing="1" w:after="100" w:afterAutospacing="1"/>
              <w:rPr>
                <w:rFonts w:ascii="Calibri" w:eastAsiaTheme="minorHAnsi" w:hAnsi="Calibri" w:cs="Calibri"/>
                <w:b/>
                <w:bCs/>
                <w:sz w:val="22"/>
                <w:szCs w:val="22"/>
              </w:rPr>
            </w:pPr>
            <w:r w:rsidRPr="00D12895">
              <w:rPr>
                <w:b/>
                <w:bCs/>
              </w:rPr>
              <w:t>…</w:t>
            </w:r>
          </w:p>
        </w:tc>
        <w:tc>
          <w:tcPr>
            <w:tcW w:w="4292" w:type="dxa"/>
            <w:tcMar>
              <w:top w:w="0" w:type="dxa"/>
              <w:left w:w="108" w:type="dxa"/>
              <w:bottom w:w="0" w:type="dxa"/>
              <w:right w:w="108" w:type="dxa"/>
            </w:tcMar>
          </w:tcPr>
          <w:p w14:paraId="58958759" w14:textId="77777777" w:rsidR="001908F8" w:rsidRPr="00D12895" w:rsidRDefault="001908F8" w:rsidP="00D07C23">
            <w:pPr>
              <w:spacing w:before="100" w:beforeAutospacing="1" w:after="100" w:afterAutospacing="1"/>
              <w:rPr>
                <w:rFonts w:ascii="Calibri" w:eastAsiaTheme="minorHAnsi" w:hAnsi="Calibri" w:cs="Calibri"/>
                <w:b/>
                <w:bCs/>
                <w:sz w:val="22"/>
                <w:szCs w:val="22"/>
              </w:rPr>
            </w:pPr>
          </w:p>
        </w:tc>
        <w:tc>
          <w:tcPr>
            <w:tcW w:w="4678" w:type="dxa"/>
            <w:tcMar>
              <w:top w:w="0" w:type="dxa"/>
              <w:left w:w="108" w:type="dxa"/>
              <w:bottom w:w="0" w:type="dxa"/>
              <w:right w:w="108" w:type="dxa"/>
            </w:tcMar>
          </w:tcPr>
          <w:p w14:paraId="7B764475" w14:textId="77777777" w:rsidR="001908F8" w:rsidRPr="00D12895" w:rsidRDefault="001908F8" w:rsidP="00D07C23">
            <w:pPr>
              <w:spacing w:before="100" w:beforeAutospacing="1" w:after="100" w:afterAutospacing="1"/>
              <w:rPr>
                <w:rFonts w:ascii="Calibri" w:eastAsiaTheme="minorHAnsi" w:hAnsi="Calibri" w:cs="Calibri"/>
                <w:b/>
                <w:bCs/>
                <w:sz w:val="22"/>
                <w:szCs w:val="22"/>
              </w:rPr>
            </w:pPr>
          </w:p>
        </w:tc>
      </w:tr>
    </w:tbl>
    <w:p w14:paraId="18947231" w14:textId="77777777" w:rsidR="00BD27AE" w:rsidRPr="00D12895" w:rsidRDefault="00BD27AE" w:rsidP="0074752B"/>
    <w:p w14:paraId="64C979EB" w14:textId="77777777" w:rsidR="00400734" w:rsidRPr="00D12895" w:rsidRDefault="00400734">
      <w:pPr>
        <w:autoSpaceDE/>
        <w:autoSpaceDN/>
        <w:adjustRightInd/>
        <w:spacing w:after="0"/>
        <w:jc w:val="left"/>
        <w:rPr>
          <w:rFonts w:ascii="Arial" w:eastAsia="MS Mincho" w:hAnsi="Arial" w:cs="Arial"/>
          <w:b/>
          <w:bCs/>
          <w:kern w:val="32"/>
          <w:sz w:val="28"/>
          <w:lang w:eastAsia="ja-JP"/>
        </w:rPr>
      </w:pPr>
      <w:r w:rsidRPr="00D12895">
        <w:br w:type="page"/>
      </w:r>
    </w:p>
    <w:p w14:paraId="56FF7712" w14:textId="24ACFD87" w:rsidR="00A70BC9" w:rsidRPr="00D12895" w:rsidRDefault="00A70BC9" w:rsidP="00A70BC9">
      <w:pPr>
        <w:pStyle w:val="Heading1-nonumbers"/>
      </w:pPr>
      <w:bookmarkStart w:id="90" w:name="_Toc505092498"/>
      <w:r w:rsidRPr="00D12895">
        <w:lastRenderedPageBreak/>
        <w:t xml:space="preserve">Annex B:  </w:t>
      </w:r>
      <w:r w:rsidR="00EF7F8C" w:rsidRPr="00D12895">
        <w:t>Remediation of Prior</w:t>
      </w:r>
      <w:r w:rsidRPr="00D12895">
        <w:t xml:space="preserve"> Non-Conformities</w:t>
      </w:r>
      <w:bookmarkEnd w:id="90"/>
    </w:p>
    <w:p w14:paraId="2187CA27" w14:textId="2FF3FB57" w:rsidR="00A70BC9" w:rsidRPr="00D12895" w:rsidRDefault="00A70BC9" w:rsidP="00A70BC9">
      <w:pPr>
        <w:pBdr>
          <w:top w:val="single" w:sz="12" w:space="1" w:color="C00000"/>
          <w:left w:val="single" w:sz="12" w:space="4" w:color="C00000"/>
          <w:bottom w:val="single" w:sz="12" w:space="1" w:color="C00000"/>
          <w:right w:val="single" w:sz="12" w:space="4" w:color="C00000"/>
        </w:pBdr>
        <w:spacing w:before="100" w:beforeAutospacing="1" w:after="240"/>
        <w:rPr>
          <w:bCs/>
          <w:color w:val="C00000"/>
        </w:rPr>
      </w:pPr>
      <w:r w:rsidRPr="00D12895">
        <w:rPr>
          <w:bCs/>
          <w:color w:val="C00000"/>
        </w:rPr>
        <w:t xml:space="preserve">If Minor Non-Conformities </w:t>
      </w:r>
      <w:r w:rsidR="00EF7F8C" w:rsidRPr="00D12895">
        <w:rPr>
          <w:bCs/>
          <w:color w:val="C00000"/>
        </w:rPr>
        <w:t>were</w:t>
      </w:r>
      <w:r w:rsidRPr="00D12895">
        <w:rPr>
          <w:bCs/>
          <w:color w:val="C00000"/>
        </w:rPr>
        <w:t xml:space="preserve"> found </w:t>
      </w:r>
      <w:r w:rsidR="00EF7F8C" w:rsidRPr="00D12895">
        <w:rPr>
          <w:bCs/>
          <w:color w:val="C00000"/>
        </w:rPr>
        <w:t>in the preceding assessment their resolution shall</w:t>
      </w:r>
      <w:r w:rsidRPr="00D12895">
        <w:rPr>
          <w:bCs/>
          <w:color w:val="C00000"/>
        </w:rPr>
        <w:t xml:space="preserve"> be </w:t>
      </w:r>
      <w:r w:rsidR="00EF7F8C" w:rsidRPr="00D12895">
        <w:rPr>
          <w:bCs/>
          <w:color w:val="C00000"/>
        </w:rPr>
        <w:t>described</w:t>
      </w:r>
      <w:r w:rsidRPr="00D12895">
        <w:rPr>
          <w:bCs/>
          <w:color w:val="C00000"/>
        </w:rPr>
        <w:t xml:space="preserve"> here using the format set out in the table below.</w:t>
      </w:r>
    </w:p>
    <w:p w14:paraId="7163011F" w14:textId="29C26F39" w:rsidR="00A70BC9" w:rsidRPr="00D12895" w:rsidRDefault="00A70BC9" w:rsidP="00A70BC9">
      <w:pPr>
        <w:pBdr>
          <w:top w:val="single" w:sz="12" w:space="1" w:color="C00000"/>
          <w:left w:val="single" w:sz="12" w:space="4" w:color="C00000"/>
          <w:bottom w:val="single" w:sz="12" w:space="1" w:color="C00000"/>
          <w:right w:val="single" w:sz="12" w:space="4" w:color="C00000"/>
        </w:pBdr>
        <w:spacing w:before="100" w:beforeAutospacing="1" w:after="240"/>
        <w:rPr>
          <w:bCs/>
          <w:color w:val="C00000"/>
        </w:rPr>
      </w:pPr>
      <w:r w:rsidRPr="00D12895">
        <w:rPr>
          <w:bCs/>
          <w:color w:val="C00000"/>
        </w:rPr>
        <w:t xml:space="preserve">This Annex should otherwise be deleted OR, should Annex </w:t>
      </w:r>
      <w:r w:rsidR="00EF7F8C" w:rsidRPr="00D12895">
        <w:rPr>
          <w:bCs/>
          <w:color w:val="C00000"/>
        </w:rPr>
        <w:t>C</w:t>
      </w:r>
      <w:r w:rsidRPr="00D12895">
        <w:rPr>
          <w:bCs/>
          <w:color w:val="C00000"/>
        </w:rPr>
        <w:t xml:space="preserve"> be employed or the Assessor ha</w:t>
      </w:r>
      <w:r w:rsidR="00885BF2">
        <w:rPr>
          <w:bCs/>
          <w:color w:val="C00000"/>
        </w:rPr>
        <w:t>s</w:t>
      </w:r>
      <w:r w:rsidRPr="00D12895">
        <w:rPr>
          <w:bCs/>
          <w:color w:val="C00000"/>
        </w:rPr>
        <w:t xml:space="preserve"> any need of an Annex for any other purpose, be marked ‘NOT USED’.</w:t>
      </w:r>
    </w:p>
    <w:p w14:paraId="7E2F02FC" w14:textId="77777777" w:rsidR="00A70BC9" w:rsidRPr="00D12895" w:rsidRDefault="00A70BC9" w:rsidP="00A70BC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0"/>
        <w:gridCol w:w="4292"/>
        <w:gridCol w:w="4678"/>
      </w:tblGrid>
      <w:tr w:rsidR="00EF7F8C" w:rsidRPr="00D12895" w14:paraId="23927284" w14:textId="77777777" w:rsidTr="0025207E">
        <w:tc>
          <w:tcPr>
            <w:tcW w:w="1770" w:type="dxa"/>
            <w:tcBorders>
              <w:top w:val="single" w:sz="12" w:space="0" w:color="auto"/>
              <w:bottom w:val="single" w:sz="12" w:space="0" w:color="auto"/>
            </w:tcBorders>
            <w:tcMar>
              <w:top w:w="0" w:type="dxa"/>
              <w:left w:w="108" w:type="dxa"/>
              <w:bottom w:w="0" w:type="dxa"/>
              <w:right w:w="108" w:type="dxa"/>
            </w:tcMar>
            <w:vAlign w:val="center"/>
            <w:hideMark/>
          </w:tcPr>
          <w:p w14:paraId="48F786EC" w14:textId="77777777" w:rsidR="00EF7F8C" w:rsidRPr="00D12895" w:rsidRDefault="00EF7F8C" w:rsidP="0025207E">
            <w:pPr>
              <w:spacing w:before="100" w:beforeAutospacing="1" w:after="100" w:afterAutospacing="1"/>
              <w:jc w:val="center"/>
              <w:rPr>
                <w:rFonts w:ascii="Calibri" w:eastAsiaTheme="minorHAnsi" w:hAnsi="Calibri" w:cs="Calibri"/>
                <w:b/>
                <w:bCs/>
                <w:sz w:val="22"/>
                <w:szCs w:val="22"/>
              </w:rPr>
            </w:pPr>
            <w:r w:rsidRPr="00D12895">
              <w:rPr>
                <w:b/>
                <w:bCs/>
              </w:rPr>
              <w:t>SAC Ref.</w:t>
            </w:r>
          </w:p>
        </w:tc>
        <w:tc>
          <w:tcPr>
            <w:tcW w:w="4292" w:type="dxa"/>
            <w:tcBorders>
              <w:top w:val="single" w:sz="12" w:space="0" w:color="auto"/>
              <w:bottom w:val="single" w:sz="12" w:space="0" w:color="auto"/>
            </w:tcBorders>
            <w:tcMar>
              <w:top w:w="0" w:type="dxa"/>
              <w:left w:w="108" w:type="dxa"/>
              <w:bottom w:w="0" w:type="dxa"/>
              <w:right w:w="108" w:type="dxa"/>
            </w:tcMar>
            <w:vAlign w:val="center"/>
            <w:hideMark/>
          </w:tcPr>
          <w:p w14:paraId="5AFFEF03" w14:textId="24F50CA7" w:rsidR="00EF7F8C" w:rsidRPr="00D12895" w:rsidRDefault="00EF7F8C" w:rsidP="0025207E">
            <w:pPr>
              <w:spacing w:before="100" w:beforeAutospacing="1" w:after="100" w:afterAutospacing="1"/>
              <w:jc w:val="center"/>
              <w:rPr>
                <w:rFonts w:ascii="Calibri" w:eastAsiaTheme="minorHAnsi" w:hAnsi="Calibri" w:cs="Calibri"/>
                <w:b/>
                <w:bCs/>
                <w:sz w:val="22"/>
                <w:szCs w:val="22"/>
              </w:rPr>
            </w:pPr>
            <w:r w:rsidRPr="00D12895">
              <w:rPr>
                <w:b/>
                <w:bCs/>
              </w:rPr>
              <w:t>Prior Min NC Observation</w:t>
            </w:r>
          </w:p>
        </w:tc>
        <w:tc>
          <w:tcPr>
            <w:tcW w:w="4678" w:type="dxa"/>
            <w:tcBorders>
              <w:top w:val="single" w:sz="12" w:space="0" w:color="auto"/>
              <w:bottom w:val="single" w:sz="12" w:space="0" w:color="auto"/>
            </w:tcBorders>
            <w:tcMar>
              <w:top w:w="0" w:type="dxa"/>
              <w:left w:w="108" w:type="dxa"/>
              <w:bottom w:w="0" w:type="dxa"/>
              <w:right w:w="108" w:type="dxa"/>
            </w:tcMar>
            <w:vAlign w:val="center"/>
            <w:hideMark/>
          </w:tcPr>
          <w:p w14:paraId="278139C8" w14:textId="25256DC8" w:rsidR="00EF7F8C" w:rsidRPr="00D12895" w:rsidRDefault="00EF7F8C" w:rsidP="00297A85">
            <w:pPr>
              <w:spacing w:before="100" w:beforeAutospacing="1" w:after="100" w:afterAutospacing="1"/>
              <w:jc w:val="center"/>
              <w:rPr>
                <w:rFonts w:ascii="Calibri" w:eastAsiaTheme="minorHAnsi" w:hAnsi="Calibri" w:cs="Calibri"/>
                <w:b/>
                <w:bCs/>
                <w:sz w:val="22"/>
                <w:szCs w:val="22"/>
              </w:rPr>
            </w:pPr>
            <w:r w:rsidRPr="00D12895">
              <w:rPr>
                <w:b/>
                <w:bCs/>
              </w:rPr>
              <w:t>Remediation Effected</w:t>
            </w:r>
          </w:p>
        </w:tc>
      </w:tr>
      <w:tr w:rsidR="00EF7F8C" w:rsidRPr="00D12895" w14:paraId="76ED770F" w14:textId="77777777" w:rsidTr="0025207E">
        <w:tc>
          <w:tcPr>
            <w:tcW w:w="1770" w:type="dxa"/>
            <w:tcBorders>
              <w:top w:val="single" w:sz="12" w:space="0" w:color="auto"/>
            </w:tcBorders>
            <w:tcMar>
              <w:top w:w="0" w:type="dxa"/>
              <w:left w:w="108" w:type="dxa"/>
              <w:bottom w:w="0" w:type="dxa"/>
              <w:right w:w="108" w:type="dxa"/>
            </w:tcMar>
            <w:hideMark/>
          </w:tcPr>
          <w:p w14:paraId="44400905" w14:textId="5424FE6D" w:rsidR="00EF7F8C" w:rsidRPr="00D12895" w:rsidRDefault="00EF7F8C" w:rsidP="0025207E">
            <w:pPr>
              <w:spacing w:before="100" w:beforeAutospacing="1" w:after="100" w:afterAutospacing="1"/>
              <w:rPr>
                <w:rFonts w:ascii="Calibri" w:eastAsiaTheme="minorHAnsi" w:hAnsi="Calibri" w:cs="Calibri"/>
                <w:b/>
                <w:bCs/>
                <w:sz w:val="22"/>
                <w:szCs w:val="22"/>
              </w:rPr>
            </w:pPr>
            <w:r w:rsidRPr="00D12895">
              <w:rPr>
                <w:b/>
                <w:bCs/>
              </w:rPr>
              <w:t>{SAC</w:t>
            </w:r>
            <w:r w:rsidR="000B72F6">
              <w:rPr>
                <w:b/>
                <w:bCs/>
              </w:rPr>
              <w:t>:</w:t>
            </w:r>
            <w:r w:rsidRPr="00D12895">
              <w:rPr>
                <w:b/>
                <w:bCs/>
              </w:rPr>
              <w:t>+tag}</w:t>
            </w:r>
          </w:p>
        </w:tc>
        <w:tc>
          <w:tcPr>
            <w:tcW w:w="4292" w:type="dxa"/>
            <w:tcBorders>
              <w:top w:val="single" w:sz="12" w:space="0" w:color="auto"/>
            </w:tcBorders>
            <w:tcMar>
              <w:top w:w="0" w:type="dxa"/>
              <w:left w:w="108" w:type="dxa"/>
              <w:bottom w:w="0" w:type="dxa"/>
              <w:right w:w="108" w:type="dxa"/>
            </w:tcMar>
          </w:tcPr>
          <w:p w14:paraId="67A6E133" w14:textId="2D05534F" w:rsidR="00EF7F8C" w:rsidRPr="00D12895" w:rsidRDefault="00EF7F8C" w:rsidP="0025207E">
            <w:pPr>
              <w:spacing w:before="100" w:beforeAutospacing="1" w:after="100" w:afterAutospacing="1"/>
              <w:rPr>
                <w:rFonts w:ascii="Calibri" w:eastAsiaTheme="minorHAnsi" w:hAnsi="Calibri" w:cs="Calibri"/>
                <w:b/>
                <w:bCs/>
                <w:sz w:val="22"/>
                <w:szCs w:val="22"/>
              </w:rPr>
            </w:pPr>
            <w:r w:rsidRPr="00D12895">
              <w:rPr>
                <w:rFonts w:eastAsiaTheme="minorHAnsi"/>
                <w:bCs/>
                <w:sz w:val="20"/>
                <w:szCs w:val="20"/>
              </w:rPr>
              <w:t>{re-state from prior KAR}</w:t>
            </w:r>
          </w:p>
        </w:tc>
        <w:tc>
          <w:tcPr>
            <w:tcW w:w="4678" w:type="dxa"/>
            <w:tcBorders>
              <w:top w:val="single" w:sz="12" w:space="0" w:color="auto"/>
            </w:tcBorders>
            <w:tcMar>
              <w:top w:w="0" w:type="dxa"/>
              <w:left w:w="108" w:type="dxa"/>
              <w:bottom w:w="0" w:type="dxa"/>
              <w:right w:w="108" w:type="dxa"/>
            </w:tcMar>
          </w:tcPr>
          <w:p w14:paraId="46AB99CA" w14:textId="199454AB" w:rsidR="00EF7F8C" w:rsidRPr="00D12895" w:rsidRDefault="00EF7F8C" w:rsidP="00EF7F8C">
            <w:pPr>
              <w:spacing w:before="100" w:beforeAutospacing="1" w:after="100" w:afterAutospacing="1"/>
              <w:rPr>
                <w:rFonts w:eastAsiaTheme="minorHAnsi"/>
                <w:bCs/>
                <w:sz w:val="20"/>
                <w:szCs w:val="20"/>
              </w:rPr>
            </w:pPr>
            <w:r w:rsidRPr="00D12895">
              <w:rPr>
                <w:rFonts w:eastAsiaTheme="minorHAnsi"/>
                <w:b/>
                <w:bCs/>
                <w:sz w:val="20"/>
                <w:szCs w:val="20"/>
              </w:rPr>
              <w:t>AGREED REMEDIAL ACTION</w:t>
            </w:r>
            <w:r w:rsidRPr="00D12895">
              <w:rPr>
                <w:rFonts w:eastAsiaTheme="minorHAnsi"/>
                <w:bCs/>
                <w:sz w:val="20"/>
                <w:szCs w:val="20"/>
              </w:rPr>
              <w:t>:  {re-state from prior KAR}</w:t>
            </w:r>
          </w:p>
          <w:p w14:paraId="081A604F" w14:textId="17533091" w:rsidR="00EF7F8C" w:rsidRPr="00D12895" w:rsidRDefault="00EF7F8C" w:rsidP="00297A85">
            <w:pPr>
              <w:spacing w:before="100" w:beforeAutospacing="1" w:after="100" w:afterAutospacing="1"/>
              <w:rPr>
                <w:rFonts w:ascii="Calibri" w:eastAsiaTheme="minorHAnsi" w:hAnsi="Calibri" w:cs="Calibri"/>
                <w:b/>
                <w:bCs/>
                <w:sz w:val="22"/>
                <w:szCs w:val="22"/>
              </w:rPr>
            </w:pPr>
            <w:r w:rsidRPr="00D12895">
              <w:rPr>
                <w:rFonts w:eastAsiaTheme="minorHAnsi"/>
                <w:b/>
                <w:bCs/>
                <w:color w:val="4F6228" w:themeColor="accent3" w:themeShade="80"/>
                <w:sz w:val="20"/>
                <w:szCs w:val="20"/>
              </w:rPr>
              <w:t>REMEDIATION OBSERVATION</w:t>
            </w:r>
            <w:r w:rsidRPr="00D12895">
              <w:rPr>
                <w:rFonts w:eastAsiaTheme="minorHAnsi"/>
                <w:bCs/>
                <w:color w:val="4F6228" w:themeColor="accent3" w:themeShade="80"/>
                <w:sz w:val="20"/>
                <w:szCs w:val="20"/>
              </w:rPr>
              <w:t>:  {state observations supporting a determination of the non-conformity having been remediated}.</w:t>
            </w:r>
          </w:p>
        </w:tc>
      </w:tr>
      <w:tr w:rsidR="00EF7F8C" w:rsidRPr="00D12895" w14:paraId="4610CBE7" w14:textId="77777777" w:rsidTr="0025207E">
        <w:tc>
          <w:tcPr>
            <w:tcW w:w="1770" w:type="dxa"/>
            <w:tcMar>
              <w:top w:w="0" w:type="dxa"/>
              <w:left w:w="108" w:type="dxa"/>
              <w:bottom w:w="0" w:type="dxa"/>
              <w:right w:w="108" w:type="dxa"/>
            </w:tcMar>
            <w:hideMark/>
          </w:tcPr>
          <w:p w14:paraId="0EFD7BC7" w14:textId="77777777" w:rsidR="00EF7F8C" w:rsidRPr="00D12895" w:rsidRDefault="00EF7F8C" w:rsidP="0025207E">
            <w:pPr>
              <w:spacing w:before="100" w:beforeAutospacing="1" w:after="100" w:afterAutospacing="1"/>
              <w:rPr>
                <w:rFonts w:ascii="Calibri" w:eastAsiaTheme="minorHAnsi" w:hAnsi="Calibri" w:cs="Calibri"/>
                <w:b/>
                <w:bCs/>
                <w:sz w:val="22"/>
                <w:szCs w:val="22"/>
              </w:rPr>
            </w:pPr>
            <w:r w:rsidRPr="00D12895">
              <w:rPr>
                <w:b/>
                <w:bCs/>
              </w:rPr>
              <w:t>…</w:t>
            </w:r>
          </w:p>
        </w:tc>
        <w:tc>
          <w:tcPr>
            <w:tcW w:w="4292" w:type="dxa"/>
            <w:tcMar>
              <w:top w:w="0" w:type="dxa"/>
              <w:left w:w="108" w:type="dxa"/>
              <w:bottom w:w="0" w:type="dxa"/>
              <w:right w:w="108" w:type="dxa"/>
            </w:tcMar>
          </w:tcPr>
          <w:p w14:paraId="2D824867" w14:textId="77777777" w:rsidR="00EF7F8C" w:rsidRPr="00D12895" w:rsidRDefault="00EF7F8C" w:rsidP="0025207E">
            <w:pPr>
              <w:spacing w:before="100" w:beforeAutospacing="1" w:after="100" w:afterAutospacing="1"/>
              <w:rPr>
                <w:rFonts w:ascii="Calibri" w:eastAsiaTheme="minorHAnsi" w:hAnsi="Calibri" w:cs="Calibri"/>
                <w:b/>
                <w:bCs/>
                <w:sz w:val="22"/>
                <w:szCs w:val="22"/>
              </w:rPr>
            </w:pPr>
          </w:p>
        </w:tc>
        <w:tc>
          <w:tcPr>
            <w:tcW w:w="4678" w:type="dxa"/>
            <w:tcMar>
              <w:top w:w="0" w:type="dxa"/>
              <w:left w:w="108" w:type="dxa"/>
              <w:bottom w:w="0" w:type="dxa"/>
              <w:right w:w="108" w:type="dxa"/>
            </w:tcMar>
          </w:tcPr>
          <w:p w14:paraId="7A20595A" w14:textId="77777777" w:rsidR="00EF7F8C" w:rsidRPr="00D12895" w:rsidRDefault="00EF7F8C" w:rsidP="0025207E">
            <w:pPr>
              <w:spacing w:before="100" w:beforeAutospacing="1" w:after="100" w:afterAutospacing="1"/>
              <w:rPr>
                <w:rFonts w:ascii="Calibri" w:eastAsiaTheme="minorHAnsi" w:hAnsi="Calibri" w:cs="Calibri"/>
                <w:b/>
                <w:bCs/>
                <w:sz w:val="22"/>
                <w:szCs w:val="22"/>
              </w:rPr>
            </w:pPr>
          </w:p>
        </w:tc>
      </w:tr>
    </w:tbl>
    <w:p w14:paraId="3FC25AF6" w14:textId="77777777" w:rsidR="00A70BC9" w:rsidRPr="00D12895" w:rsidRDefault="00A70BC9" w:rsidP="00A70BC9"/>
    <w:p w14:paraId="1E286B4E" w14:textId="77777777" w:rsidR="00A70BC9" w:rsidRPr="00D12895" w:rsidRDefault="00A70BC9" w:rsidP="00A70BC9">
      <w:pPr>
        <w:autoSpaceDE/>
        <w:autoSpaceDN/>
        <w:adjustRightInd/>
        <w:spacing w:after="0"/>
        <w:jc w:val="left"/>
        <w:rPr>
          <w:rFonts w:ascii="Arial" w:eastAsia="MS Mincho" w:hAnsi="Arial" w:cs="Arial"/>
          <w:b/>
          <w:bCs/>
          <w:kern w:val="32"/>
          <w:sz w:val="28"/>
          <w:lang w:eastAsia="ja-JP"/>
        </w:rPr>
      </w:pPr>
      <w:r w:rsidRPr="00D12895">
        <w:br w:type="page"/>
      </w:r>
    </w:p>
    <w:p w14:paraId="2126886F" w14:textId="4A73ED6C" w:rsidR="00400734" w:rsidRPr="00D12895" w:rsidRDefault="00400734" w:rsidP="00400734">
      <w:pPr>
        <w:pStyle w:val="Heading1-nonumbers"/>
      </w:pPr>
      <w:bookmarkStart w:id="91" w:name="_Toc505092499"/>
      <w:r w:rsidRPr="00D12895">
        <w:lastRenderedPageBreak/>
        <w:t xml:space="preserve">Annex </w:t>
      </w:r>
      <w:r w:rsidR="00A70BC9" w:rsidRPr="00D12895">
        <w:t>C</w:t>
      </w:r>
      <w:r w:rsidRPr="00D12895">
        <w:t xml:space="preserve">:  </w:t>
      </w:r>
      <w:r w:rsidR="00BB7EA2" w:rsidRPr="00D12895">
        <w:t>Assessor’s Note &amp; Remarks</w:t>
      </w:r>
      <w:bookmarkEnd w:id="91"/>
    </w:p>
    <w:p w14:paraId="01DB2A39" w14:textId="68859704" w:rsidR="00BB7EA2" w:rsidRPr="00D12895" w:rsidRDefault="00400734" w:rsidP="00400734">
      <w:pPr>
        <w:pBdr>
          <w:top w:val="single" w:sz="12" w:space="1" w:color="C00000"/>
          <w:left w:val="single" w:sz="12" w:space="4" w:color="C00000"/>
          <w:bottom w:val="single" w:sz="12" w:space="1" w:color="C00000"/>
          <w:right w:val="single" w:sz="12" w:space="4" w:color="C00000"/>
        </w:pBdr>
        <w:spacing w:before="100" w:beforeAutospacing="1" w:after="240"/>
        <w:rPr>
          <w:bCs/>
          <w:color w:val="C00000"/>
        </w:rPr>
      </w:pPr>
      <w:r w:rsidRPr="00D12895">
        <w:rPr>
          <w:bCs/>
          <w:color w:val="C00000"/>
        </w:rPr>
        <w:t>For a Component Service, either the Assessor or the Applicant may identify points relev</w:t>
      </w:r>
      <w:r w:rsidR="009D0FE6" w:rsidRPr="00D12895">
        <w:rPr>
          <w:bCs/>
          <w:color w:val="C00000"/>
        </w:rPr>
        <w:t>a</w:t>
      </w:r>
      <w:r w:rsidRPr="00D12895">
        <w:rPr>
          <w:bCs/>
          <w:color w:val="C00000"/>
        </w:rPr>
        <w:t xml:space="preserve">nt to the use of the Component in other services.  </w:t>
      </w:r>
      <w:r w:rsidR="00BB7EA2" w:rsidRPr="00D12895">
        <w:rPr>
          <w:bCs/>
          <w:color w:val="C00000"/>
        </w:rPr>
        <w:t>This would include ‘</w:t>
      </w:r>
      <w:proofErr w:type="spellStart"/>
      <w:r w:rsidR="00BB7EA2" w:rsidRPr="00D12895">
        <w:rPr>
          <w:bCs/>
          <w:color w:val="C00000"/>
        </w:rPr>
        <w:t>Permissable</w:t>
      </w:r>
      <w:proofErr w:type="spellEnd"/>
      <w:r w:rsidR="005B28C3">
        <w:rPr>
          <w:bCs/>
          <w:color w:val="C00000"/>
        </w:rPr>
        <w:t xml:space="preserve"> Exceptions’ as allowed under </w:t>
      </w:r>
      <w:r w:rsidR="00BB7EA2" w:rsidRPr="00D12895">
        <w:rPr>
          <w:bCs/>
          <w:color w:val="C00000"/>
        </w:rPr>
        <w:t xml:space="preserve">Kantara </w:t>
      </w:r>
      <w:r w:rsidR="005B28C3">
        <w:rPr>
          <w:bCs/>
          <w:color w:val="C00000"/>
        </w:rPr>
        <w:br/>
      </w:r>
      <w:r w:rsidR="00BB7EA2" w:rsidRPr="00D12895">
        <w:rPr>
          <w:bCs/>
          <w:color w:val="C00000"/>
        </w:rPr>
        <w:t>IAF-</w:t>
      </w:r>
      <w:r w:rsidR="00EF7F8C" w:rsidRPr="00D12895">
        <w:rPr>
          <w:bCs/>
          <w:color w:val="C00000"/>
        </w:rPr>
        <w:t>1430 SAH</w:t>
      </w:r>
      <w:r w:rsidR="00BB7EA2" w:rsidRPr="00D12895">
        <w:rPr>
          <w:bCs/>
          <w:color w:val="C00000"/>
        </w:rPr>
        <w:t>, §3.1.4.5.</w:t>
      </w:r>
    </w:p>
    <w:p w14:paraId="77201361" w14:textId="20047AB1" w:rsidR="00BB7EA2" w:rsidRPr="00D12895" w:rsidRDefault="00BB7EA2" w:rsidP="00400734">
      <w:pPr>
        <w:pBdr>
          <w:top w:val="single" w:sz="12" w:space="1" w:color="C00000"/>
          <w:left w:val="single" w:sz="12" w:space="4" w:color="C00000"/>
          <w:bottom w:val="single" w:sz="12" w:space="1" w:color="C00000"/>
          <w:right w:val="single" w:sz="12" w:space="4" w:color="C00000"/>
        </w:pBdr>
        <w:spacing w:before="100" w:beforeAutospacing="1" w:after="240"/>
        <w:rPr>
          <w:bCs/>
          <w:color w:val="C00000"/>
        </w:rPr>
      </w:pPr>
      <w:r w:rsidRPr="00D12895">
        <w:rPr>
          <w:bCs/>
          <w:color w:val="C00000"/>
        </w:rPr>
        <w:t xml:space="preserve">Additionally, the Assessor may feel that, while they were </w:t>
      </w:r>
      <w:r w:rsidR="00551F87" w:rsidRPr="00D12895">
        <w:rPr>
          <w:bCs/>
          <w:color w:val="C00000"/>
        </w:rPr>
        <w:t>a</w:t>
      </w:r>
      <w:r w:rsidRPr="00D12895">
        <w:rPr>
          <w:bCs/>
          <w:color w:val="C00000"/>
        </w:rPr>
        <w:t xml:space="preserve">ble to </w:t>
      </w:r>
      <w:r w:rsidR="00913E78" w:rsidRPr="005B28C3">
        <w:rPr>
          <w:bCs/>
          <w:color w:val="C00000"/>
        </w:rPr>
        <w:t>find overall conformity during their assessment</w:t>
      </w:r>
      <w:r w:rsidR="00551F87" w:rsidRPr="00D12895">
        <w:rPr>
          <w:bCs/>
          <w:color w:val="C00000"/>
        </w:rPr>
        <w:t xml:space="preserve"> there may be factors identified which are </w:t>
      </w:r>
      <w:r w:rsidRPr="00D12895">
        <w:rPr>
          <w:bCs/>
          <w:color w:val="C00000"/>
        </w:rPr>
        <w:t>relevant to later assessments</w:t>
      </w:r>
      <w:r w:rsidR="00551F87" w:rsidRPr="00D12895">
        <w:rPr>
          <w:bCs/>
          <w:color w:val="C00000"/>
        </w:rPr>
        <w:t>,</w:t>
      </w:r>
      <w:r w:rsidRPr="00D12895">
        <w:rPr>
          <w:bCs/>
          <w:color w:val="C00000"/>
        </w:rPr>
        <w:t xml:space="preserve"> which they deem worthy of noting here as guidance when those circumstances arise</w:t>
      </w:r>
      <w:r w:rsidR="00551F87" w:rsidRPr="00D12895">
        <w:rPr>
          <w:bCs/>
          <w:color w:val="C00000"/>
        </w:rPr>
        <w:t>, e.g. where additional focus might be directed on a follow-up assessment.</w:t>
      </w:r>
    </w:p>
    <w:p w14:paraId="5E4CCBE3" w14:textId="4286E81F" w:rsidR="00400734" w:rsidRPr="00D12895" w:rsidRDefault="00400734" w:rsidP="00400734">
      <w:pPr>
        <w:pBdr>
          <w:top w:val="single" w:sz="12" w:space="1" w:color="C00000"/>
          <w:left w:val="single" w:sz="12" w:space="4" w:color="C00000"/>
          <w:bottom w:val="single" w:sz="12" w:space="1" w:color="C00000"/>
          <w:right w:val="single" w:sz="12" w:space="4" w:color="C00000"/>
        </w:pBdr>
        <w:spacing w:before="100" w:beforeAutospacing="1" w:after="240"/>
        <w:rPr>
          <w:bCs/>
          <w:color w:val="C00000"/>
        </w:rPr>
      </w:pPr>
      <w:r w:rsidRPr="00D12895">
        <w:rPr>
          <w:bCs/>
          <w:color w:val="C00000"/>
        </w:rPr>
        <w:t>This Annex should otherwise be deleted OR, should the Assessor ha</w:t>
      </w:r>
      <w:r w:rsidR="00885BF2">
        <w:rPr>
          <w:bCs/>
          <w:color w:val="C00000"/>
        </w:rPr>
        <w:t>s</w:t>
      </w:r>
      <w:r w:rsidRPr="00D12895">
        <w:rPr>
          <w:bCs/>
          <w:color w:val="C00000"/>
        </w:rPr>
        <w:t xml:space="preserve"> any need of an Annex for any other purpose, be marked ‘NOT USED’</w:t>
      </w:r>
      <w:r w:rsidR="00BB7EA2" w:rsidRPr="00D12895">
        <w:rPr>
          <w:bCs/>
          <w:color w:val="C00000"/>
        </w:rPr>
        <w:t>.</w:t>
      </w:r>
    </w:p>
    <w:p w14:paraId="18887FF4" w14:textId="77777777" w:rsidR="00400734" w:rsidRPr="00D12895" w:rsidRDefault="00400734" w:rsidP="00400734"/>
    <w:p w14:paraId="014A0202" w14:textId="77777777" w:rsidR="00400734" w:rsidRPr="00D12895" w:rsidRDefault="00400734">
      <w:pPr>
        <w:autoSpaceDE/>
        <w:autoSpaceDN/>
        <w:adjustRightInd/>
        <w:spacing w:after="0"/>
        <w:jc w:val="left"/>
        <w:rPr>
          <w:rFonts w:ascii="Arial" w:eastAsia="MS Mincho" w:hAnsi="Arial" w:cs="Arial"/>
          <w:bCs/>
          <w:kern w:val="32"/>
          <w:lang w:eastAsia="ja-JP"/>
        </w:rPr>
      </w:pPr>
      <w:r w:rsidRPr="00D12895">
        <w:br w:type="page"/>
      </w:r>
    </w:p>
    <w:p w14:paraId="41EA64F5" w14:textId="66E3997D" w:rsidR="00400734" w:rsidRPr="00D12895" w:rsidRDefault="00400734" w:rsidP="00400734">
      <w:pPr>
        <w:pStyle w:val="Heading1-nonumbers"/>
      </w:pPr>
      <w:bookmarkStart w:id="92" w:name="_Toc505092500"/>
      <w:r w:rsidRPr="00D12895">
        <w:lastRenderedPageBreak/>
        <w:t xml:space="preserve">Annex </w:t>
      </w:r>
      <w:r w:rsidR="00A70BC9" w:rsidRPr="00D12895">
        <w:t>D</w:t>
      </w:r>
      <w:r w:rsidRPr="00D12895">
        <w:t>, etc.:  as required by the Assessor</w:t>
      </w:r>
      <w:bookmarkEnd w:id="92"/>
    </w:p>
    <w:p w14:paraId="582FDC4D" w14:textId="1D7DE91D" w:rsidR="00400734" w:rsidRPr="00BB7EA2" w:rsidRDefault="00400734" w:rsidP="00400734">
      <w:pPr>
        <w:pBdr>
          <w:top w:val="single" w:sz="12" w:space="1" w:color="C00000"/>
          <w:left w:val="single" w:sz="12" w:space="4" w:color="C00000"/>
          <w:bottom w:val="single" w:sz="12" w:space="1" w:color="C00000"/>
          <w:right w:val="single" w:sz="12" w:space="4" w:color="C00000"/>
        </w:pBdr>
        <w:spacing w:before="100" w:beforeAutospacing="1" w:after="240"/>
        <w:rPr>
          <w:bCs/>
          <w:color w:val="C00000"/>
        </w:rPr>
      </w:pPr>
      <w:r w:rsidRPr="00D12895">
        <w:rPr>
          <w:bCs/>
          <w:color w:val="C00000"/>
        </w:rPr>
        <w:t>Any Annexes</w:t>
      </w:r>
      <w:r w:rsidR="009D0FE6" w:rsidRPr="00D12895">
        <w:rPr>
          <w:bCs/>
          <w:color w:val="C00000"/>
        </w:rPr>
        <w:t xml:space="preserve"> deemed necessary by the Assess</w:t>
      </w:r>
      <w:r w:rsidRPr="00D12895">
        <w:rPr>
          <w:bCs/>
          <w:color w:val="C00000"/>
        </w:rPr>
        <w:t>or should, for the sake of consistent use of Annexes A</w:t>
      </w:r>
      <w:r w:rsidR="00A70BC9" w:rsidRPr="00D12895">
        <w:rPr>
          <w:bCs/>
          <w:color w:val="C00000"/>
        </w:rPr>
        <w:t>, B</w:t>
      </w:r>
      <w:r w:rsidRPr="00D12895">
        <w:rPr>
          <w:bCs/>
          <w:color w:val="C00000"/>
        </w:rPr>
        <w:t xml:space="preserve"> and </w:t>
      </w:r>
      <w:r w:rsidR="00A70BC9" w:rsidRPr="00D12895">
        <w:rPr>
          <w:bCs/>
          <w:color w:val="C00000"/>
        </w:rPr>
        <w:t>C</w:t>
      </w:r>
      <w:r w:rsidRPr="00D12895">
        <w:rPr>
          <w:bCs/>
          <w:color w:val="C00000"/>
        </w:rPr>
        <w:t xml:space="preserve">, commence at Annex </w:t>
      </w:r>
      <w:r w:rsidR="00A70BC9" w:rsidRPr="00D12895">
        <w:rPr>
          <w:bCs/>
          <w:color w:val="C00000"/>
        </w:rPr>
        <w:t>D</w:t>
      </w:r>
      <w:r w:rsidRPr="00D12895">
        <w:rPr>
          <w:bCs/>
          <w:color w:val="C00000"/>
        </w:rPr>
        <w:t>.</w:t>
      </w:r>
    </w:p>
    <w:p w14:paraId="3F2352E2" w14:textId="77777777" w:rsidR="00400734" w:rsidRDefault="00400734" w:rsidP="00400734"/>
    <w:p w14:paraId="1009224B" w14:textId="77777777" w:rsidR="00400734" w:rsidRPr="00D1321F" w:rsidRDefault="00400734" w:rsidP="0074752B"/>
    <w:sectPr w:rsidR="00400734" w:rsidRPr="00D1321F" w:rsidSect="00A12663">
      <w:headerReference w:type="default" r:id="rId13"/>
      <w:footerReference w:type="even" r:id="rId14"/>
      <w:footerReference w:type="default" r:id="rId15"/>
      <w:headerReference w:type="first" r:id="rId16"/>
      <w:footerReference w:type="first" r:id="rId17"/>
      <w:pgSz w:w="12242" w:h="15842" w:code="1"/>
      <w:pgMar w:top="567" w:right="567" w:bottom="567" w:left="567" w:header="567" w:footer="567" w:gutter="56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DA056" w14:textId="77777777" w:rsidR="00F461A5" w:rsidRDefault="00F461A5" w:rsidP="006A6AFA">
      <w:r>
        <w:separator/>
      </w:r>
    </w:p>
  </w:endnote>
  <w:endnote w:type="continuationSeparator" w:id="0">
    <w:p w14:paraId="1098C6EA" w14:textId="77777777" w:rsidR="00F461A5" w:rsidRDefault="00F461A5" w:rsidP="006A6AFA">
      <w:r>
        <w:continuationSeparator/>
      </w:r>
    </w:p>
  </w:endnote>
  <w:endnote w:type="continuationNotice" w:id="1">
    <w:p w14:paraId="2261E64D" w14:textId="77777777" w:rsidR="00F461A5" w:rsidRDefault="00F461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C71F" w14:textId="77777777" w:rsidR="00A61A33" w:rsidRDefault="00A61A33" w:rsidP="006A6AF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B5EDC62" w14:textId="77777777" w:rsidR="00A61A33" w:rsidRDefault="00A61A33" w:rsidP="006A6AFA">
    <w:pPr>
      <w:pStyle w:val="Footer"/>
    </w:pPr>
  </w:p>
  <w:p w14:paraId="313979A3" w14:textId="77777777" w:rsidR="00A61A33" w:rsidRDefault="00A61A33" w:rsidP="006A6AFA"/>
  <w:p w14:paraId="04FC3A8F" w14:textId="77777777" w:rsidR="00A61A33" w:rsidRDefault="00A61A33" w:rsidP="006A6AFA"/>
  <w:p w14:paraId="5B5F3958" w14:textId="77777777" w:rsidR="00A61A33" w:rsidRDefault="00A61A33" w:rsidP="006A6AFA"/>
  <w:p w14:paraId="6F27C40D" w14:textId="77777777" w:rsidR="00A61A33" w:rsidRDefault="00A61A33" w:rsidP="006A6A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24C0" w14:textId="77777777" w:rsidR="00AC5C2C" w:rsidRPr="00A27567" w:rsidRDefault="00AC5C2C" w:rsidP="00AC5C2C">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D80CA1">
      <w:rPr>
        <w:rFonts w:ascii="Century Gothic" w:hAnsi="Century Gothic"/>
        <w:b/>
        <w:sz w:val="18"/>
        <w:szCs w:val="18"/>
      </w:rPr>
      <w:t>www.kantarainitiative.org</w:t>
    </w:r>
  </w:p>
  <w:p w14:paraId="6E809BD6" w14:textId="77777777" w:rsidR="00AC5C2C" w:rsidRPr="00A27567" w:rsidRDefault="00AC5C2C" w:rsidP="00AC5C2C">
    <w:pPr>
      <w:pStyle w:val="Footer"/>
      <w:tabs>
        <w:tab w:val="clear" w:pos="4153"/>
        <w:tab w:val="center" w:pos="5387"/>
      </w:tabs>
      <w:spacing w:after="0" w:line="240" w:lineRule="auto"/>
      <w:rPr>
        <w:rFonts w:ascii="Century Gothic" w:hAnsi="Century Gothic"/>
        <w:b/>
        <w:sz w:val="18"/>
        <w:szCs w:val="18"/>
      </w:rPr>
    </w:pPr>
    <w:r w:rsidRPr="00A27567">
      <w:rPr>
        <w:rFonts w:ascii="Century Gothic" w:hAnsi="Century Gothic"/>
        <w:b/>
        <w:sz w:val="18"/>
        <w:szCs w:val="18"/>
      </w:rPr>
      <w:tab/>
    </w:r>
    <w:r w:rsidRPr="00A27567">
      <w:rPr>
        <w:rFonts w:ascii="Century Gothic" w:hAnsi="Century Gothic"/>
        <w:b/>
        <w:sz w:val="18"/>
        <w:szCs w:val="18"/>
      </w:rPr>
      <w:fldChar w:fldCharType="begin"/>
    </w:r>
    <w:r w:rsidRPr="00A27567">
      <w:rPr>
        <w:rFonts w:ascii="Century Gothic" w:hAnsi="Century Gothic"/>
        <w:b/>
        <w:sz w:val="18"/>
        <w:szCs w:val="18"/>
      </w:rPr>
      <w:instrText xml:space="preserve"> PAGE </w:instrText>
    </w:r>
    <w:r w:rsidRPr="00A27567">
      <w:rPr>
        <w:rFonts w:ascii="Century Gothic" w:hAnsi="Century Gothic"/>
        <w:b/>
        <w:sz w:val="18"/>
        <w:szCs w:val="18"/>
      </w:rPr>
      <w:fldChar w:fldCharType="separate"/>
    </w:r>
    <w:r w:rsidR="00B42D66">
      <w:rPr>
        <w:rFonts w:ascii="Century Gothic" w:hAnsi="Century Gothic"/>
        <w:b/>
        <w:noProof/>
        <w:sz w:val="18"/>
        <w:szCs w:val="18"/>
      </w:rPr>
      <w:t>10</w:t>
    </w:r>
    <w:r w:rsidRPr="00A27567">
      <w:rPr>
        <w:rFonts w:ascii="Century Gothic" w:hAnsi="Century Gothic"/>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FA71" w14:textId="77777777" w:rsidR="00AC5C2C" w:rsidRPr="00D80CA1" w:rsidRDefault="00AC5C2C" w:rsidP="00AC5C2C">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D80CA1">
      <w:rPr>
        <w:rFonts w:ascii="Century Gothic" w:hAnsi="Century Gothic"/>
        <w:b/>
        <w:sz w:val="18"/>
        <w:szCs w:val="18"/>
      </w:rPr>
      <w:t>www.kantarainitiative.org</w:t>
    </w:r>
  </w:p>
  <w:p w14:paraId="63EA7C34" w14:textId="77777777" w:rsidR="00AC5C2C" w:rsidRPr="00A27567" w:rsidRDefault="00AC5C2C" w:rsidP="00AC5C2C">
    <w:pPr>
      <w:pStyle w:val="Footer"/>
      <w:jc w:val="center"/>
      <w:rPr>
        <w:rFonts w:ascii="Century Gothic" w:hAnsi="Century Gothic"/>
        <w:b/>
        <w:sz w:val="18"/>
        <w:szCs w:val="18"/>
      </w:rPr>
    </w:pPr>
    <w:r w:rsidRPr="00A27567">
      <w:rPr>
        <w:rFonts w:ascii="Century Gothic" w:hAnsi="Century Gothic"/>
        <w:b/>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AA5FE" w14:textId="77777777" w:rsidR="00F461A5" w:rsidRDefault="00F461A5" w:rsidP="006A6AFA">
      <w:r>
        <w:separator/>
      </w:r>
    </w:p>
  </w:footnote>
  <w:footnote w:type="continuationSeparator" w:id="0">
    <w:p w14:paraId="348BCEFE" w14:textId="77777777" w:rsidR="00F461A5" w:rsidRDefault="00F461A5" w:rsidP="006A6AFA">
      <w:r>
        <w:continuationSeparator/>
      </w:r>
    </w:p>
  </w:footnote>
  <w:footnote w:type="continuationNotice" w:id="1">
    <w:p w14:paraId="3349EB30" w14:textId="77777777" w:rsidR="00F461A5" w:rsidRDefault="00F461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DC19" w14:textId="51D5AB9E" w:rsidR="00AC5C2C" w:rsidRDefault="00AC5C2C" w:rsidP="00311A24">
    <w:pPr>
      <w:pBdr>
        <w:bottom w:val="single" w:sz="4" w:space="1" w:color="33CCCC"/>
      </w:pBdr>
      <w:tabs>
        <w:tab w:val="right" w:pos="10490"/>
      </w:tabs>
      <w:spacing w:after="0"/>
      <w:rPr>
        <w:rFonts w:ascii="Century Gothic" w:hAnsi="Century Gothic"/>
        <w:b/>
        <w:sz w:val="18"/>
        <w:szCs w:val="18"/>
      </w:rPr>
    </w:pPr>
    <w:r>
      <w:rPr>
        <w:rFonts w:ascii="Century Gothic" w:hAnsi="Century Gothic"/>
        <w:b/>
        <w:sz w:val="18"/>
        <w:szCs w:val="18"/>
      </w:rPr>
      <w:t>Kantara Initiative Identity Assurance Framework:</w:t>
    </w:r>
    <w:r>
      <w:rPr>
        <w:rFonts w:ascii="Century Gothic" w:hAnsi="Century Gothic"/>
        <w:b/>
        <w:sz w:val="18"/>
        <w:szCs w:val="18"/>
      </w:rPr>
      <w:tab/>
    </w:r>
    <w:r w:rsidRPr="00810E7E">
      <w:rPr>
        <w:rFonts w:ascii="Century Gothic" w:hAnsi="Century Gothic"/>
        <w:b/>
        <w:sz w:val="18"/>
        <w:szCs w:val="18"/>
      </w:rPr>
      <w:t>Version:</w:t>
    </w:r>
    <w:r w:rsidR="00AD6100">
      <w:rPr>
        <w:rFonts w:ascii="Century Gothic" w:hAnsi="Century Gothic"/>
        <w:b/>
        <w:sz w:val="18"/>
        <w:szCs w:val="18"/>
      </w:rPr>
      <w:t xml:space="preserve"> 3.0</w:t>
    </w:r>
  </w:p>
  <w:p w14:paraId="32C18034" w14:textId="2218863D" w:rsidR="00AC5C2C" w:rsidRDefault="0074752B" w:rsidP="00AC5C2C">
    <w:pPr>
      <w:pBdr>
        <w:bottom w:val="single" w:sz="4" w:space="1" w:color="33CCCC"/>
      </w:pBdr>
      <w:tabs>
        <w:tab w:val="left" w:pos="6210"/>
      </w:tabs>
      <w:spacing w:after="0"/>
      <w:rPr>
        <w:rFonts w:ascii="Century Gothic" w:hAnsi="Century Gothic"/>
        <w:b/>
        <w:sz w:val="18"/>
        <w:szCs w:val="18"/>
      </w:rPr>
    </w:pPr>
    <w:r>
      <w:rPr>
        <w:rFonts w:ascii="Century Gothic" w:hAnsi="Century Gothic"/>
        <w:b/>
        <w:sz w:val="18"/>
        <w:szCs w:val="18"/>
      </w:rPr>
      <w:t>Kantara Assessor</w:t>
    </w:r>
    <w:r w:rsidR="009D47A0">
      <w:rPr>
        <w:rFonts w:ascii="Century Gothic" w:hAnsi="Century Gothic"/>
        <w:b/>
        <w:sz w:val="18"/>
        <w:szCs w:val="18"/>
      </w:rPr>
      <w:t>’</w:t>
    </w:r>
    <w:r>
      <w:rPr>
        <w:rFonts w:ascii="Century Gothic" w:hAnsi="Century Gothic"/>
        <w:b/>
        <w:sz w:val="18"/>
        <w:szCs w:val="18"/>
      </w:rPr>
      <w:t>s Report (</w:t>
    </w:r>
    <w:r w:rsidRPr="0074752B">
      <w:rPr>
        <w:rFonts w:ascii="Century Gothic" w:hAnsi="Century Gothic"/>
        <w:b/>
        <w:i/>
        <w:sz w:val="18"/>
        <w:szCs w:val="18"/>
      </w:rPr>
      <w:t>pro forma</w:t>
    </w:r>
    <w:r>
      <w:rPr>
        <w:rFonts w:ascii="Century Gothic" w:hAnsi="Century Gothic"/>
        <w:b/>
        <w:sz w:val="18"/>
        <w:szCs w:val="18"/>
      </w:rPr>
      <w:t>)</w:t>
    </w:r>
  </w:p>
  <w:p w14:paraId="33A8170F" w14:textId="77777777" w:rsidR="00A61A33" w:rsidRPr="00AC5C2C" w:rsidRDefault="00A61A33" w:rsidP="00AC5C2C">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0119" w14:textId="639B8223" w:rsidR="00311A24" w:rsidRDefault="00311A24">
    <w:pPr>
      <w:pStyle w:val="Header"/>
    </w:pPr>
    <w:r>
      <w:rPr>
        <w:noProof/>
        <w:lang w:val="es-ES" w:eastAsia="es-ES"/>
      </w:rPr>
      <w:drawing>
        <wp:inline distT="0" distB="0" distL="0" distR="0" wp14:anchorId="3B583D44" wp14:editId="4333303F">
          <wp:extent cx="256032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6EF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3DE85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20C72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5AC4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B216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20651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1EE14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6F8CD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BB090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484BA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72BE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DA087C"/>
    <w:multiLevelType w:val="hybridMultilevel"/>
    <w:tmpl w:val="4C5CB62E"/>
    <w:lvl w:ilvl="0" w:tplc="9B7691E6">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6A1B93"/>
    <w:multiLevelType w:val="hybridMultilevel"/>
    <w:tmpl w:val="356CF4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18" w15:restartNumberingAfterBreak="0">
    <w:nsid w:val="19296FD3"/>
    <w:multiLevelType w:val="hybridMultilevel"/>
    <w:tmpl w:val="2354BEAA"/>
    <w:lvl w:ilvl="0" w:tplc="31C0DA24">
      <w:start w:val="1"/>
      <w:numFmt w:val="lowerLetter"/>
      <w:pStyle w:val="Numbered"/>
      <w:lvlText w:val="%1."/>
      <w:lvlJc w:val="left"/>
      <w:pPr>
        <w:tabs>
          <w:tab w:val="num" w:pos="1980"/>
        </w:tabs>
        <w:ind w:left="1980" w:hanging="360"/>
      </w:pPr>
      <w:rPr>
        <w:rFonts w:hint="default"/>
      </w:rPr>
    </w:lvl>
    <w:lvl w:ilvl="1" w:tplc="47BAFBC8">
      <w:start w:val="1"/>
      <w:numFmt w:val="lowerLetter"/>
      <w:lvlText w:val="%2."/>
      <w:lvlJc w:val="left"/>
      <w:pPr>
        <w:tabs>
          <w:tab w:val="num" w:pos="1440"/>
        </w:tabs>
        <w:ind w:left="1440" w:hanging="360"/>
      </w:pPr>
    </w:lvl>
    <w:lvl w:ilvl="2" w:tplc="C0C6E980" w:tentative="1">
      <w:start w:val="1"/>
      <w:numFmt w:val="lowerRoman"/>
      <w:lvlText w:val="%3."/>
      <w:lvlJc w:val="right"/>
      <w:pPr>
        <w:tabs>
          <w:tab w:val="num" w:pos="2160"/>
        </w:tabs>
        <w:ind w:left="2160" w:hanging="180"/>
      </w:pPr>
    </w:lvl>
    <w:lvl w:ilvl="3" w:tplc="5F2C8D22" w:tentative="1">
      <w:start w:val="1"/>
      <w:numFmt w:val="decimal"/>
      <w:lvlText w:val="%4."/>
      <w:lvlJc w:val="left"/>
      <w:pPr>
        <w:tabs>
          <w:tab w:val="num" w:pos="2880"/>
        </w:tabs>
        <w:ind w:left="2880" w:hanging="360"/>
      </w:pPr>
    </w:lvl>
    <w:lvl w:ilvl="4" w:tplc="B270ED82" w:tentative="1">
      <w:start w:val="1"/>
      <w:numFmt w:val="lowerLetter"/>
      <w:lvlText w:val="%5."/>
      <w:lvlJc w:val="left"/>
      <w:pPr>
        <w:tabs>
          <w:tab w:val="num" w:pos="3600"/>
        </w:tabs>
        <w:ind w:left="3600" w:hanging="360"/>
      </w:pPr>
    </w:lvl>
    <w:lvl w:ilvl="5" w:tplc="3E9A27B0" w:tentative="1">
      <w:start w:val="1"/>
      <w:numFmt w:val="lowerRoman"/>
      <w:lvlText w:val="%6."/>
      <w:lvlJc w:val="right"/>
      <w:pPr>
        <w:tabs>
          <w:tab w:val="num" w:pos="4320"/>
        </w:tabs>
        <w:ind w:left="4320" w:hanging="180"/>
      </w:pPr>
    </w:lvl>
    <w:lvl w:ilvl="6" w:tplc="D65C3D76" w:tentative="1">
      <w:start w:val="1"/>
      <w:numFmt w:val="decimal"/>
      <w:lvlText w:val="%7."/>
      <w:lvlJc w:val="left"/>
      <w:pPr>
        <w:tabs>
          <w:tab w:val="num" w:pos="5040"/>
        </w:tabs>
        <w:ind w:left="5040" w:hanging="360"/>
      </w:pPr>
    </w:lvl>
    <w:lvl w:ilvl="7" w:tplc="509A90E2" w:tentative="1">
      <w:start w:val="1"/>
      <w:numFmt w:val="lowerLetter"/>
      <w:lvlText w:val="%8."/>
      <w:lvlJc w:val="left"/>
      <w:pPr>
        <w:tabs>
          <w:tab w:val="num" w:pos="5760"/>
        </w:tabs>
        <w:ind w:left="5760" w:hanging="360"/>
      </w:pPr>
    </w:lvl>
    <w:lvl w:ilvl="8" w:tplc="CCEE528C" w:tentative="1">
      <w:start w:val="1"/>
      <w:numFmt w:val="lowerRoman"/>
      <w:lvlText w:val="%9."/>
      <w:lvlJc w:val="right"/>
      <w:pPr>
        <w:tabs>
          <w:tab w:val="num" w:pos="6480"/>
        </w:tabs>
        <w:ind w:left="6480" w:hanging="180"/>
      </w:pPr>
    </w:lvl>
  </w:abstractNum>
  <w:abstractNum w:abstractNumId="19" w15:restartNumberingAfterBreak="0">
    <w:nsid w:val="1CD973E6"/>
    <w:multiLevelType w:val="hybridMultilevel"/>
    <w:tmpl w:val="2E1C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D11E4"/>
    <w:multiLevelType w:val="hybridMultilevel"/>
    <w:tmpl w:val="28E8B200"/>
    <w:lvl w:ilvl="0" w:tplc="E87CA23E">
      <w:start w:val="10"/>
      <w:numFmt w:val="bullet"/>
      <w:lvlText w:val="-"/>
      <w:lvlJc w:val="left"/>
      <w:pPr>
        <w:ind w:left="1287" w:hanging="360"/>
      </w:pPr>
      <w:rPr>
        <w:rFonts w:ascii="Times New Roman" w:eastAsia="MS Mincho"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8726B4"/>
    <w:multiLevelType w:val="hybridMultilevel"/>
    <w:tmpl w:val="21A419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216181"/>
    <w:multiLevelType w:val="multilevel"/>
    <w:tmpl w:val="DD7C9A36"/>
    <w:lvl w:ilvl="0">
      <w:start w:val="1"/>
      <w:numFmt w:val="decimal"/>
      <w:pStyle w:val="Heading1"/>
      <w:lvlText w:val="%1"/>
      <w:lvlJc w:val="left"/>
      <w:pPr>
        <w:tabs>
          <w:tab w:val="num" w:pos="432"/>
        </w:tabs>
        <w:ind w:left="432" w:hanging="432"/>
      </w:pPr>
      <w:rPr>
        <w:rFonts w:hint="default"/>
        <w:sz w:val="28"/>
        <w:szCs w:val="28"/>
      </w:rPr>
    </w:lvl>
    <w:lvl w:ilvl="1">
      <w:start w:val="1"/>
      <w:numFmt w:val="decimal"/>
      <w:pStyle w:val="Heading2"/>
      <w:lvlText w:val="%1.%2"/>
      <w:lvlJc w:val="left"/>
      <w:pPr>
        <w:tabs>
          <w:tab w:val="num" w:pos="576"/>
        </w:tabs>
        <w:ind w:left="576" w:hanging="576"/>
      </w:pPr>
      <w:rPr>
        <w:rFonts w:ascii="Arial Bold" w:hAnsi="Arial Bold" w:hint="default"/>
        <w:bCs/>
        <w:sz w:val="24"/>
        <w:szCs w:val="24"/>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8643A8B"/>
    <w:multiLevelType w:val="hybridMultilevel"/>
    <w:tmpl w:val="B784FB7C"/>
    <w:lvl w:ilvl="0" w:tplc="2C5ACE8A">
      <w:start w:val="1"/>
      <w:numFmt w:val="bullet"/>
      <w:pStyle w:val="Bullet"/>
      <w:lvlText w:val=""/>
      <w:lvlJc w:val="left"/>
      <w:pPr>
        <w:tabs>
          <w:tab w:val="num" w:pos="1440"/>
        </w:tabs>
        <w:ind w:left="1440" w:hanging="360"/>
      </w:pPr>
      <w:rPr>
        <w:rFonts w:ascii="Symbol" w:hAnsi="Symbol" w:hint="default"/>
      </w:rPr>
    </w:lvl>
    <w:lvl w:ilvl="1" w:tplc="FE2A434E">
      <w:start w:val="1"/>
      <w:numFmt w:val="bullet"/>
      <w:lvlText w:val=""/>
      <w:lvlJc w:val="left"/>
      <w:pPr>
        <w:tabs>
          <w:tab w:val="num" w:pos="2160"/>
        </w:tabs>
        <w:ind w:left="2160" w:hanging="360"/>
      </w:pPr>
      <w:rPr>
        <w:rFonts w:ascii="Symbol" w:hAnsi="Symbol" w:hint="default"/>
        <w:sz w:val="24"/>
      </w:rPr>
    </w:lvl>
    <w:lvl w:ilvl="2" w:tplc="9738A970" w:tentative="1">
      <w:start w:val="1"/>
      <w:numFmt w:val="bullet"/>
      <w:lvlText w:val=""/>
      <w:lvlJc w:val="left"/>
      <w:pPr>
        <w:tabs>
          <w:tab w:val="num" w:pos="2880"/>
        </w:tabs>
        <w:ind w:left="2880" w:hanging="360"/>
      </w:pPr>
      <w:rPr>
        <w:rFonts w:ascii="Wingdings" w:hAnsi="Wingdings" w:hint="default"/>
      </w:rPr>
    </w:lvl>
    <w:lvl w:ilvl="3" w:tplc="A18CEF24" w:tentative="1">
      <w:start w:val="1"/>
      <w:numFmt w:val="bullet"/>
      <w:lvlText w:val=""/>
      <w:lvlJc w:val="left"/>
      <w:pPr>
        <w:tabs>
          <w:tab w:val="num" w:pos="3600"/>
        </w:tabs>
        <w:ind w:left="3600" w:hanging="360"/>
      </w:pPr>
      <w:rPr>
        <w:rFonts w:ascii="Symbol" w:hAnsi="Symbol" w:hint="default"/>
      </w:rPr>
    </w:lvl>
    <w:lvl w:ilvl="4" w:tplc="D9DA09AC" w:tentative="1">
      <w:start w:val="1"/>
      <w:numFmt w:val="bullet"/>
      <w:lvlText w:val="o"/>
      <w:lvlJc w:val="left"/>
      <w:pPr>
        <w:tabs>
          <w:tab w:val="num" w:pos="4320"/>
        </w:tabs>
        <w:ind w:left="4320" w:hanging="360"/>
      </w:pPr>
      <w:rPr>
        <w:rFonts w:ascii="Courier New" w:hAnsi="Courier New" w:cs="Courier New" w:hint="default"/>
      </w:rPr>
    </w:lvl>
    <w:lvl w:ilvl="5" w:tplc="46F6DB3C" w:tentative="1">
      <w:start w:val="1"/>
      <w:numFmt w:val="bullet"/>
      <w:lvlText w:val=""/>
      <w:lvlJc w:val="left"/>
      <w:pPr>
        <w:tabs>
          <w:tab w:val="num" w:pos="5040"/>
        </w:tabs>
        <w:ind w:left="5040" w:hanging="360"/>
      </w:pPr>
      <w:rPr>
        <w:rFonts w:ascii="Wingdings" w:hAnsi="Wingdings" w:hint="default"/>
      </w:rPr>
    </w:lvl>
    <w:lvl w:ilvl="6" w:tplc="17F452B6" w:tentative="1">
      <w:start w:val="1"/>
      <w:numFmt w:val="bullet"/>
      <w:lvlText w:val=""/>
      <w:lvlJc w:val="left"/>
      <w:pPr>
        <w:tabs>
          <w:tab w:val="num" w:pos="5760"/>
        </w:tabs>
        <w:ind w:left="5760" w:hanging="360"/>
      </w:pPr>
      <w:rPr>
        <w:rFonts w:ascii="Symbol" w:hAnsi="Symbol" w:hint="default"/>
      </w:rPr>
    </w:lvl>
    <w:lvl w:ilvl="7" w:tplc="611CDC72" w:tentative="1">
      <w:start w:val="1"/>
      <w:numFmt w:val="bullet"/>
      <w:lvlText w:val="o"/>
      <w:lvlJc w:val="left"/>
      <w:pPr>
        <w:tabs>
          <w:tab w:val="num" w:pos="6480"/>
        </w:tabs>
        <w:ind w:left="6480" w:hanging="360"/>
      </w:pPr>
      <w:rPr>
        <w:rFonts w:ascii="Courier New" w:hAnsi="Courier New" w:cs="Courier New" w:hint="default"/>
      </w:rPr>
    </w:lvl>
    <w:lvl w:ilvl="8" w:tplc="A0AC7DE2"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EA0972"/>
    <w:multiLevelType w:val="hybridMultilevel"/>
    <w:tmpl w:val="2196C29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19690A"/>
    <w:multiLevelType w:val="hybridMultilevel"/>
    <w:tmpl w:val="C078389C"/>
    <w:lvl w:ilvl="0" w:tplc="E87CA23E">
      <w:start w:val="10"/>
      <w:numFmt w:val="bullet"/>
      <w:lvlText w:val="-"/>
      <w:lvlJc w:val="left"/>
      <w:pPr>
        <w:ind w:left="1146" w:hanging="360"/>
      </w:pPr>
      <w:rPr>
        <w:rFonts w:ascii="Times New Roman" w:eastAsia="MS Mincho"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82D6204"/>
    <w:multiLevelType w:val="hybridMultilevel"/>
    <w:tmpl w:val="93B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9B7691E6">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B6E4B"/>
    <w:multiLevelType w:val="hybridMultilevel"/>
    <w:tmpl w:val="1876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E35BA"/>
    <w:multiLevelType w:val="hybridMultilevel"/>
    <w:tmpl w:val="BFF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7"/>
  </w:num>
  <w:num w:numId="3">
    <w:abstractNumId w:val="24"/>
  </w:num>
  <w:num w:numId="4">
    <w:abstractNumId w:val="15"/>
  </w:num>
  <w:num w:numId="5">
    <w:abstractNumId w:val="18"/>
  </w:num>
  <w:num w:numId="6">
    <w:abstractNumId w:val="16"/>
  </w:num>
  <w:num w:numId="7">
    <w:abstractNumId w:val="32"/>
  </w:num>
  <w:num w:numId="8">
    <w:abstractNumId w:val="14"/>
  </w:num>
  <w:num w:numId="9">
    <w:abstractNumId w:val="22"/>
  </w:num>
  <w:num w:numId="10">
    <w:abstractNumId w:val="26"/>
  </w:num>
  <w:num w:numId="11">
    <w:abstractNumId w:val="12"/>
  </w:num>
  <w:num w:numId="12">
    <w:abstractNumId w:val="20"/>
  </w:num>
  <w:num w:numId="13">
    <w:abstractNumId w:val="0"/>
  </w:num>
  <w:num w:numId="14">
    <w:abstractNumId w:val="30"/>
  </w:num>
  <w:num w:numId="15">
    <w:abstractNumId w:val="13"/>
  </w:num>
  <w:num w:numId="16">
    <w:abstractNumId w:val="19"/>
  </w:num>
  <w:num w:numId="17">
    <w:abstractNumId w:val="31"/>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9"/>
  </w:num>
  <w:num w:numId="29">
    <w:abstractNumId w:val="11"/>
  </w:num>
  <w:num w:numId="30">
    <w:abstractNumId w:val="21"/>
  </w:num>
  <w:num w:numId="31">
    <w:abstractNumId w:val="28"/>
  </w:num>
  <w:num w:numId="32">
    <w:abstractNumId w:val="27"/>
  </w:num>
  <w:num w:numId="3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D98"/>
    <w:rsid w:val="0000224A"/>
    <w:rsid w:val="000159A2"/>
    <w:rsid w:val="00061756"/>
    <w:rsid w:val="00063036"/>
    <w:rsid w:val="00074C24"/>
    <w:rsid w:val="00080232"/>
    <w:rsid w:val="00085376"/>
    <w:rsid w:val="000878F8"/>
    <w:rsid w:val="00097239"/>
    <w:rsid w:val="000B72F6"/>
    <w:rsid w:val="000C0EE9"/>
    <w:rsid w:val="000D215E"/>
    <w:rsid w:val="000E0A4E"/>
    <w:rsid w:val="000F3E32"/>
    <w:rsid w:val="001149C5"/>
    <w:rsid w:val="00115183"/>
    <w:rsid w:val="00136A2B"/>
    <w:rsid w:val="00144A95"/>
    <w:rsid w:val="001466B9"/>
    <w:rsid w:val="0015410A"/>
    <w:rsid w:val="00154834"/>
    <w:rsid w:val="00163A74"/>
    <w:rsid w:val="00164E72"/>
    <w:rsid w:val="00181698"/>
    <w:rsid w:val="001908F8"/>
    <w:rsid w:val="00191AF5"/>
    <w:rsid w:val="001D34F9"/>
    <w:rsid w:val="001E26A9"/>
    <w:rsid w:val="00200E10"/>
    <w:rsid w:val="0020517F"/>
    <w:rsid w:val="00207D6F"/>
    <w:rsid w:val="002122CF"/>
    <w:rsid w:val="00212482"/>
    <w:rsid w:val="00220D2E"/>
    <w:rsid w:val="00227501"/>
    <w:rsid w:val="00227DDE"/>
    <w:rsid w:val="00231EA7"/>
    <w:rsid w:val="00233C9E"/>
    <w:rsid w:val="00250D78"/>
    <w:rsid w:val="00254E41"/>
    <w:rsid w:val="002638D1"/>
    <w:rsid w:val="00283178"/>
    <w:rsid w:val="002862F9"/>
    <w:rsid w:val="00297A85"/>
    <w:rsid w:val="002B0364"/>
    <w:rsid w:val="002B6440"/>
    <w:rsid w:val="002C4D57"/>
    <w:rsid w:val="002C6190"/>
    <w:rsid w:val="002D4A9F"/>
    <w:rsid w:val="002E2E14"/>
    <w:rsid w:val="002E3122"/>
    <w:rsid w:val="002E3784"/>
    <w:rsid w:val="002E51D9"/>
    <w:rsid w:val="0031077D"/>
    <w:rsid w:val="00311A24"/>
    <w:rsid w:val="00312603"/>
    <w:rsid w:val="00316F90"/>
    <w:rsid w:val="00332321"/>
    <w:rsid w:val="00335AD4"/>
    <w:rsid w:val="00355503"/>
    <w:rsid w:val="00356BA1"/>
    <w:rsid w:val="00365BED"/>
    <w:rsid w:val="00371AA4"/>
    <w:rsid w:val="003730EA"/>
    <w:rsid w:val="00386C71"/>
    <w:rsid w:val="00387699"/>
    <w:rsid w:val="003A2904"/>
    <w:rsid w:val="003A3DA0"/>
    <w:rsid w:val="003A46CA"/>
    <w:rsid w:val="003A52B9"/>
    <w:rsid w:val="003A749A"/>
    <w:rsid w:val="003D6AE6"/>
    <w:rsid w:val="003E03EE"/>
    <w:rsid w:val="003E1553"/>
    <w:rsid w:val="003E3191"/>
    <w:rsid w:val="00400734"/>
    <w:rsid w:val="0041207A"/>
    <w:rsid w:val="00417DCB"/>
    <w:rsid w:val="0042577D"/>
    <w:rsid w:val="00432C94"/>
    <w:rsid w:val="00446C32"/>
    <w:rsid w:val="00457A5B"/>
    <w:rsid w:val="00461C9D"/>
    <w:rsid w:val="004625F6"/>
    <w:rsid w:val="004821D9"/>
    <w:rsid w:val="0049459D"/>
    <w:rsid w:val="004A3662"/>
    <w:rsid w:val="004A42E9"/>
    <w:rsid w:val="004B4F4E"/>
    <w:rsid w:val="004C38C0"/>
    <w:rsid w:val="004C564C"/>
    <w:rsid w:val="004F270D"/>
    <w:rsid w:val="004F4FC8"/>
    <w:rsid w:val="005017B3"/>
    <w:rsid w:val="005041C0"/>
    <w:rsid w:val="00524E0E"/>
    <w:rsid w:val="005443B5"/>
    <w:rsid w:val="00551F87"/>
    <w:rsid w:val="00554F07"/>
    <w:rsid w:val="00572252"/>
    <w:rsid w:val="0058129D"/>
    <w:rsid w:val="0058526E"/>
    <w:rsid w:val="0059225E"/>
    <w:rsid w:val="005A3CD3"/>
    <w:rsid w:val="005B0630"/>
    <w:rsid w:val="005B28C3"/>
    <w:rsid w:val="005C5813"/>
    <w:rsid w:val="005C7F00"/>
    <w:rsid w:val="005F1AEE"/>
    <w:rsid w:val="005F7948"/>
    <w:rsid w:val="0060184C"/>
    <w:rsid w:val="00603EC3"/>
    <w:rsid w:val="006140EE"/>
    <w:rsid w:val="0062258C"/>
    <w:rsid w:val="00643E90"/>
    <w:rsid w:val="00657566"/>
    <w:rsid w:val="00663B61"/>
    <w:rsid w:val="00672247"/>
    <w:rsid w:val="00675D8F"/>
    <w:rsid w:val="00682D6A"/>
    <w:rsid w:val="00684D61"/>
    <w:rsid w:val="00691669"/>
    <w:rsid w:val="00696F6A"/>
    <w:rsid w:val="006A1E94"/>
    <w:rsid w:val="006A3FE7"/>
    <w:rsid w:val="006A6AFA"/>
    <w:rsid w:val="006B335A"/>
    <w:rsid w:val="006C6A9A"/>
    <w:rsid w:val="006C7D98"/>
    <w:rsid w:val="006D4199"/>
    <w:rsid w:val="006E3550"/>
    <w:rsid w:val="006E7CD4"/>
    <w:rsid w:val="006F7120"/>
    <w:rsid w:val="006F786C"/>
    <w:rsid w:val="0071583D"/>
    <w:rsid w:val="00727E2E"/>
    <w:rsid w:val="00731151"/>
    <w:rsid w:val="0073276B"/>
    <w:rsid w:val="007459F0"/>
    <w:rsid w:val="00746132"/>
    <w:rsid w:val="0074752B"/>
    <w:rsid w:val="00766775"/>
    <w:rsid w:val="00773590"/>
    <w:rsid w:val="00777BC7"/>
    <w:rsid w:val="00794A69"/>
    <w:rsid w:val="00795879"/>
    <w:rsid w:val="0079726F"/>
    <w:rsid w:val="007A1593"/>
    <w:rsid w:val="007B2F11"/>
    <w:rsid w:val="007B7FEF"/>
    <w:rsid w:val="007C1553"/>
    <w:rsid w:val="007C3142"/>
    <w:rsid w:val="007C49BF"/>
    <w:rsid w:val="007C4DD2"/>
    <w:rsid w:val="007D1804"/>
    <w:rsid w:val="007D264F"/>
    <w:rsid w:val="00810E7E"/>
    <w:rsid w:val="00825604"/>
    <w:rsid w:val="00835767"/>
    <w:rsid w:val="00837122"/>
    <w:rsid w:val="008437B2"/>
    <w:rsid w:val="00860B7C"/>
    <w:rsid w:val="00867784"/>
    <w:rsid w:val="00885BF2"/>
    <w:rsid w:val="00894DBD"/>
    <w:rsid w:val="008A1316"/>
    <w:rsid w:val="008B3D87"/>
    <w:rsid w:val="008E0421"/>
    <w:rsid w:val="008F6E7D"/>
    <w:rsid w:val="00900084"/>
    <w:rsid w:val="00902CD0"/>
    <w:rsid w:val="0090563E"/>
    <w:rsid w:val="009119B2"/>
    <w:rsid w:val="00913E78"/>
    <w:rsid w:val="0091482B"/>
    <w:rsid w:val="0093413F"/>
    <w:rsid w:val="009424CC"/>
    <w:rsid w:val="00952B59"/>
    <w:rsid w:val="00965337"/>
    <w:rsid w:val="00982A83"/>
    <w:rsid w:val="0098508D"/>
    <w:rsid w:val="00987695"/>
    <w:rsid w:val="009A26A9"/>
    <w:rsid w:val="009C3C13"/>
    <w:rsid w:val="009C734A"/>
    <w:rsid w:val="009D0FE6"/>
    <w:rsid w:val="009D47A0"/>
    <w:rsid w:val="009D600E"/>
    <w:rsid w:val="009E428E"/>
    <w:rsid w:val="009F59A9"/>
    <w:rsid w:val="009F5F58"/>
    <w:rsid w:val="00A0005B"/>
    <w:rsid w:val="00A00649"/>
    <w:rsid w:val="00A12663"/>
    <w:rsid w:val="00A179FE"/>
    <w:rsid w:val="00A27567"/>
    <w:rsid w:val="00A44D48"/>
    <w:rsid w:val="00A466E0"/>
    <w:rsid w:val="00A47CF5"/>
    <w:rsid w:val="00A5437D"/>
    <w:rsid w:val="00A55E87"/>
    <w:rsid w:val="00A577B6"/>
    <w:rsid w:val="00A61A33"/>
    <w:rsid w:val="00A61FE9"/>
    <w:rsid w:val="00A653E4"/>
    <w:rsid w:val="00A66AA7"/>
    <w:rsid w:val="00A70BC9"/>
    <w:rsid w:val="00A73A9A"/>
    <w:rsid w:val="00A73BF3"/>
    <w:rsid w:val="00A84A00"/>
    <w:rsid w:val="00A85712"/>
    <w:rsid w:val="00A86F61"/>
    <w:rsid w:val="00A9049B"/>
    <w:rsid w:val="00A94CF8"/>
    <w:rsid w:val="00A94D87"/>
    <w:rsid w:val="00AA53E0"/>
    <w:rsid w:val="00AB4C78"/>
    <w:rsid w:val="00AC5C2C"/>
    <w:rsid w:val="00AD6100"/>
    <w:rsid w:val="00AD624B"/>
    <w:rsid w:val="00AF073E"/>
    <w:rsid w:val="00B109B4"/>
    <w:rsid w:val="00B1354A"/>
    <w:rsid w:val="00B14431"/>
    <w:rsid w:val="00B16F1A"/>
    <w:rsid w:val="00B42D66"/>
    <w:rsid w:val="00B46620"/>
    <w:rsid w:val="00B61C96"/>
    <w:rsid w:val="00B722C9"/>
    <w:rsid w:val="00B94EB7"/>
    <w:rsid w:val="00BB7EA2"/>
    <w:rsid w:val="00BD26B9"/>
    <w:rsid w:val="00BD27AE"/>
    <w:rsid w:val="00BE3D1A"/>
    <w:rsid w:val="00BE49F1"/>
    <w:rsid w:val="00BF1AEE"/>
    <w:rsid w:val="00BF7B71"/>
    <w:rsid w:val="00C05632"/>
    <w:rsid w:val="00C10B70"/>
    <w:rsid w:val="00C25063"/>
    <w:rsid w:val="00C32C28"/>
    <w:rsid w:val="00C41EFC"/>
    <w:rsid w:val="00C43783"/>
    <w:rsid w:val="00C540F0"/>
    <w:rsid w:val="00C70DD4"/>
    <w:rsid w:val="00CA52A5"/>
    <w:rsid w:val="00CB182D"/>
    <w:rsid w:val="00CB189B"/>
    <w:rsid w:val="00CC1EEC"/>
    <w:rsid w:val="00CD4C55"/>
    <w:rsid w:val="00CE0D98"/>
    <w:rsid w:val="00CE1FA3"/>
    <w:rsid w:val="00CF40B1"/>
    <w:rsid w:val="00CF6F26"/>
    <w:rsid w:val="00D12895"/>
    <w:rsid w:val="00D1321F"/>
    <w:rsid w:val="00D14747"/>
    <w:rsid w:val="00D205C8"/>
    <w:rsid w:val="00D26C69"/>
    <w:rsid w:val="00D26CA4"/>
    <w:rsid w:val="00D4203B"/>
    <w:rsid w:val="00D42453"/>
    <w:rsid w:val="00D538E5"/>
    <w:rsid w:val="00D622D3"/>
    <w:rsid w:val="00D72DAA"/>
    <w:rsid w:val="00D80CA1"/>
    <w:rsid w:val="00D84C32"/>
    <w:rsid w:val="00D87CD2"/>
    <w:rsid w:val="00D90854"/>
    <w:rsid w:val="00D90CF5"/>
    <w:rsid w:val="00D95E53"/>
    <w:rsid w:val="00DA549A"/>
    <w:rsid w:val="00DB4D0A"/>
    <w:rsid w:val="00DB5567"/>
    <w:rsid w:val="00DC20C2"/>
    <w:rsid w:val="00DC448F"/>
    <w:rsid w:val="00DD10E4"/>
    <w:rsid w:val="00DD171A"/>
    <w:rsid w:val="00DD2938"/>
    <w:rsid w:val="00DD5601"/>
    <w:rsid w:val="00DE2467"/>
    <w:rsid w:val="00DE3F4E"/>
    <w:rsid w:val="00DE463F"/>
    <w:rsid w:val="00DF5A1C"/>
    <w:rsid w:val="00E21778"/>
    <w:rsid w:val="00E268F9"/>
    <w:rsid w:val="00E27A17"/>
    <w:rsid w:val="00E30966"/>
    <w:rsid w:val="00E54F97"/>
    <w:rsid w:val="00E60579"/>
    <w:rsid w:val="00E71144"/>
    <w:rsid w:val="00E73FA5"/>
    <w:rsid w:val="00E85B57"/>
    <w:rsid w:val="00E87D69"/>
    <w:rsid w:val="00EA3886"/>
    <w:rsid w:val="00EB00CE"/>
    <w:rsid w:val="00EB1089"/>
    <w:rsid w:val="00EC0A9C"/>
    <w:rsid w:val="00ED1FD2"/>
    <w:rsid w:val="00ED2BF6"/>
    <w:rsid w:val="00EE24E3"/>
    <w:rsid w:val="00EF0D2D"/>
    <w:rsid w:val="00EF6B19"/>
    <w:rsid w:val="00EF7F8C"/>
    <w:rsid w:val="00F00006"/>
    <w:rsid w:val="00F3338D"/>
    <w:rsid w:val="00F40A37"/>
    <w:rsid w:val="00F40AFE"/>
    <w:rsid w:val="00F41B23"/>
    <w:rsid w:val="00F44769"/>
    <w:rsid w:val="00F461A5"/>
    <w:rsid w:val="00F50E75"/>
    <w:rsid w:val="00F5109D"/>
    <w:rsid w:val="00F63E27"/>
    <w:rsid w:val="00F7314D"/>
    <w:rsid w:val="00F73CDD"/>
    <w:rsid w:val="00F74DC7"/>
    <w:rsid w:val="00F7763F"/>
    <w:rsid w:val="00F902B2"/>
    <w:rsid w:val="00F953CE"/>
    <w:rsid w:val="00F95543"/>
    <w:rsid w:val="00FB6442"/>
    <w:rsid w:val="00FC328E"/>
    <w:rsid w:val="00FD0FC4"/>
    <w:rsid w:val="00FE7C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E62B64-2751-B647-860D-6CCF64C2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AFA"/>
    <w:pPr>
      <w:autoSpaceDE w:val="0"/>
      <w:autoSpaceDN w:val="0"/>
      <w:adjustRightInd w:val="0"/>
      <w:spacing w:after="180"/>
      <w:jc w:val="both"/>
    </w:pPr>
    <w:rPr>
      <w:color w:val="000000"/>
      <w:sz w:val="24"/>
      <w:szCs w:val="24"/>
      <w:lang w:val="en-US" w:eastAsia="en-US"/>
    </w:rPr>
  </w:style>
  <w:style w:type="paragraph" w:styleId="Heading1">
    <w:name w:val="heading 1"/>
    <w:basedOn w:val="Normal"/>
    <w:next w:val="BodyText"/>
    <w:qFormat/>
    <w:rsid w:val="00FD0FC4"/>
    <w:pPr>
      <w:keepNext/>
      <w:pageBreakBefore/>
      <w:numPr>
        <w:numId w:val="3"/>
      </w:numPr>
      <w:pBdr>
        <w:bottom w:val="single" w:sz="12" w:space="1" w:color="auto"/>
      </w:pBdr>
      <w:spacing w:before="240" w:after="240"/>
      <w:outlineLvl w:val="0"/>
    </w:pPr>
    <w:rPr>
      <w:rFonts w:ascii="Arial" w:hAnsi="Arial"/>
      <w:b/>
      <w:caps/>
      <w:sz w:val="28"/>
      <w:szCs w:val="28"/>
    </w:rPr>
  </w:style>
  <w:style w:type="paragraph" w:styleId="Heading2">
    <w:name w:val="heading 2"/>
    <w:basedOn w:val="Normal"/>
    <w:next w:val="BodyTextH2"/>
    <w:autoRedefine/>
    <w:qFormat/>
    <w:rsid w:val="00FD0FC4"/>
    <w:pPr>
      <w:keepNext/>
      <w:numPr>
        <w:ilvl w:val="1"/>
        <w:numId w:val="3"/>
      </w:numPr>
      <w:tabs>
        <w:tab w:val="clear" w:pos="576"/>
        <w:tab w:val="left" w:pos="720"/>
        <w:tab w:val="left" w:pos="1008"/>
        <w:tab w:val="left" w:pos="2002"/>
      </w:tabs>
      <w:suppressAutoHyphens/>
      <w:spacing w:before="360"/>
      <w:ind w:left="720" w:right="-11" w:hanging="720"/>
      <w:outlineLvl w:val="1"/>
    </w:pPr>
    <w:rPr>
      <w:rFonts w:ascii="Arial" w:eastAsia="Arial" w:hAnsi="Arial" w:cs="Arial"/>
      <w:b/>
      <w:bCs/>
      <w:color w:val="auto"/>
      <w:kern w:val="24"/>
    </w:rPr>
  </w:style>
  <w:style w:type="paragraph" w:styleId="Heading3">
    <w:name w:val="heading 3"/>
    <w:basedOn w:val="Normal"/>
    <w:next w:val="BodyTextH3"/>
    <w:autoRedefine/>
    <w:qFormat/>
    <w:pPr>
      <w:keepNext/>
      <w:widowControl w:val="0"/>
      <w:numPr>
        <w:ilvl w:val="2"/>
        <w:numId w:val="3"/>
      </w:numPr>
      <w:tabs>
        <w:tab w:val="clear" w:pos="1296"/>
        <w:tab w:val="left" w:pos="720"/>
        <w:tab w:val="left" w:pos="1008"/>
      </w:tabs>
      <w:suppressAutoHyphens/>
      <w:spacing w:before="200" w:after="200"/>
      <w:ind w:right="-14" w:hanging="720"/>
      <w:outlineLvl w:val="2"/>
    </w:pPr>
    <w:rPr>
      <w:rFonts w:ascii="Arial" w:hAnsi="Arial"/>
      <w:b/>
      <w:kern w:val="24"/>
      <w:szCs w:val="20"/>
    </w:rPr>
  </w:style>
  <w:style w:type="paragraph" w:styleId="Heading4">
    <w:name w:val="heading 4"/>
    <w:basedOn w:val="Normal"/>
    <w:next w:val="BodyTextH4"/>
    <w:autoRedefine/>
    <w:qFormat/>
    <w:pPr>
      <w:keepNext/>
      <w:widowControl w:val="0"/>
      <w:numPr>
        <w:ilvl w:val="3"/>
        <w:numId w:val="3"/>
      </w:numPr>
      <w:tabs>
        <w:tab w:val="clear" w:pos="4140"/>
        <w:tab w:val="left" w:pos="1008"/>
      </w:tabs>
      <w:suppressAutoHyphens/>
      <w:spacing w:before="120" w:after="60"/>
      <w:ind w:left="1008" w:right="-14" w:hanging="1008"/>
      <w:outlineLvl w:val="3"/>
    </w:pPr>
    <w:rPr>
      <w:rFonts w:ascii="Arial" w:hAnsi="Arial" w:cs="Arial"/>
      <w:b/>
      <w:sz w:val="22"/>
      <w:szCs w:val="22"/>
    </w:rPr>
  </w:style>
  <w:style w:type="paragraph" w:styleId="Heading5">
    <w:name w:val="heading 5"/>
    <w:basedOn w:val="Normal"/>
    <w:next w:val="BodyText"/>
    <w:autoRedefine/>
    <w:qFormat/>
    <w:pPr>
      <w:keepNext/>
      <w:widowControl w:val="0"/>
      <w:numPr>
        <w:ilvl w:val="4"/>
        <w:numId w:val="3"/>
      </w:numPr>
      <w:tabs>
        <w:tab w:val="clear" w:pos="2736"/>
      </w:tabs>
      <w:spacing w:before="120" w:after="60"/>
      <w:ind w:left="1008" w:hanging="1008"/>
      <w:outlineLvl w:val="4"/>
    </w:pPr>
    <w:rPr>
      <w:rFonts w:ascii="Arial" w:hAnsi="Arial"/>
      <w:b/>
      <w:i/>
      <w:sz w:val="22"/>
      <w:szCs w:val="22"/>
    </w:rPr>
  </w:style>
  <w:style w:type="paragraph" w:styleId="Heading6">
    <w:name w:val="heading 6"/>
    <w:basedOn w:val="Normal"/>
    <w:next w:val="Normal"/>
    <w:qFormat/>
    <w:pPr>
      <w:numPr>
        <w:ilvl w:val="5"/>
        <w:numId w:val="2"/>
      </w:numPr>
      <w:spacing w:before="240" w:after="60" w:line="300" w:lineRule="atLeast"/>
      <w:outlineLvl w:val="5"/>
    </w:pPr>
    <w:rPr>
      <w:b/>
      <w:bCs/>
      <w:sz w:val="22"/>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ind w:right="-14"/>
    </w:pPr>
    <w:rPr>
      <w:rFonts w:eastAsia="MS Mincho"/>
      <w:kern w:val="24"/>
      <w:szCs w:val="20"/>
    </w:rPr>
  </w:style>
  <w:style w:type="paragraph" w:customStyle="1" w:styleId="BodyTextH2">
    <w:name w:val="Body Text H2"/>
    <w:basedOn w:val="BodyText"/>
    <w:autoRedefine/>
    <w:rsid w:val="00D4203B"/>
    <w:rPr>
      <w:rFonts w:eastAsia="Times New Roman"/>
      <w:szCs w:val="24"/>
    </w:rPr>
  </w:style>
  <w:style w:type="paragraph" w:customStyle="1" w:styleId="BodyTextH3">
    <w:name w:val="Body Text H3"/>
    <w:basedOn w:val="BodyText"/>
    <w:autoRedefine/>
    <w:pPr>
      <w:ind w:left="1267"/>
      <w:jc w:val="left"/>
    </w:pPr>
    <w:rPr>
      <w:sz w:val="22"/>
    </w:rPr>
  </w:style>
  <w:style w:type="paragraph" w:customStyle="1" w:styleId="BodyTextH4">
    <w:name w:val="Body Text H4"/>
    <w:basedOn w:val="BodyText"/>
    <w:autoRedefine/>
    <w:pPr>
      <w:ind w:left="2160"/>
    </w:pPr>
  </w:style>
  <w:style w:type="paragraph" w:customStyle="1" w:styleId="BodyTextH5">
    <w:name w:val="Body Text H5"/>
    <w:basedOn w:val="BodyText"/>
    <w:autoRedefine/>
    <w:pPr>
      <w:ind w:left="2707"/>
      <w:jc w:val="left"/>
    </w:pPr>
    <w:rPr>
      <w:sz w:val="22"/>
    </w:rPr>
  </w:style>
  <w:style w:type="paragraph" w:styleId="Header">
    <w:name w:val="header"/>
    <w:basedOn w:val="Normal"/>
    <w:semiHidden/>
    <w:pPr>
      <w:tabs>
        <w:tab w:val="center" w:pos="4153"/>
        <w:tab w:val="right" w:pos="8306"/>
      </w:tabs>
      <w:spacing w:line="300" w:lineRule="atLeast"/>
    </w:pPr>
    <w:rPr>
      <w:sz w:val="20"/>
      <w:szCs w:val="20"/>
      <w:lang w:val="en-GB"/>
    </w:rPr>
  </w:style>
  <w:style w:type="paragraph" w:styleId="Footer">
    <w:name w:val="footer"/>
    <w:basedOn w:val="Normal"/>
    <w:link w:val="FooterChar"/>
    <w:uiPriority w:val="99"/>
    <w:pPr>
      <w:tabs>
        <w:tab w:val="center" w:pos="4153"/>
        <w:tab w:val="right" w:pos="8306"/>
      </w:tabs>
      <w:spacing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spacing w:before="120" w:after="120"/>
      <w:jc w:val="center"/>
    </w:pPr>
    <w:rPr>
      <w:rFonts w:ascii="Arial" w:hAnsi="Arial"/>
      <w:b/>
      <w:bCs/>
      <w:sz w:val="20"/>
      <w:szCs w:val="20"/>
    </w:rPr>
  </w:style>
  <w:style w:type="paragraph" w:customStyle="1" w:styleId="CellHeading">
    <w:name w:val="Cell Heading"/>
    <w:basedOn w:val="Normal"/>
    <w:next w:val="CellBody"/>
    <w:rPr>
      <w:rFonts w:ascii="Times New Roman Bold" w:hAnsi="Times New Roman Bold"/>
      <w:b/>
      <w:sz w:val="22"/>
    </w:rPr>
  </w:style>
  <w:style w:type="paragraph" w:customStyle="1" w:styleId="CellBody">
    <w:name w:val="Cell Body"/>
    <w:basedOn w:val="Normal"/>
    <w:rPr>
      <w:sz w:val="22"/>
    </w:rPr>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pPr>
    <w:rPr>
      <w:rFonts w:ascii="Arial" w:hAnsi="Arial"/>
      <w:i/>
      <w:sz w:val="20"/>
      <w:szCs w:val="20"/>
    </w:rPr>
  </w:style>
  <w:style w:type="paragraph" w:styleId="BodyTextFirstIndent">
    <w:name w:val="Body Text First Indent"/>
    <w:basedOn w:val="BodyText"/>
    <w:semiHidden/>
    <w:pPr>
      <w:ind w:firstLine="210"/>
    </w:pPr>
    <w:rPr>
      <w:szCs w:val="24"/>
    </w:r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pPr>
    <w:rPr>
      <w:szCs w:val="20"/>
    </w:rPr>
  </w:style>
  <w:style w:type="paragraph" w:customStyle="1" w:styleId="addr">
    <w:name w:val="addr"/>
    <w:basedOn w:val="Normal"/>
    <w:pPr>
      <w:tabs>
        <w:tab w:val="right" w:pos="10348"/>
      </w:tabs>
      <w:spacing w:line="300" w:lineRule="atLeast"/>
    </w:pPr>
    <w:rPr>
      <w:szCs w:val="20"/>
    </w:rPr>
  </w:style>
  <w:style w:type="paragraph" w:customStyle="1" w:styleId="Salut">
    <w:name w:val="Salut"/>
    <w:basedOn w:val="Normal"/>
    <w:pPr>
      <w:spacing w:before="360" w:after="480" w:line="300" w:lineRule="exact"/>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sz w:val="32"/>
    </w:rPr>
  </w:style>
  <w:style w:type="paragraph" w:customStyle="1" w:styleId="Level2">
    <w:name w:val="Level 2"/>
    <w:basedOn w:val="Normal"/>
    <w:pPr>
      <w:numPr>
        <w:ilvl w:val="1"/>
        <w:numId w:val="4"/>
      </w:numPr>
      <w:spacing w:after="120"/>
    </w:pPr>
    <w:rPr>
      <w:rFonts w:ascii="Arial" w:hAnsi="Arial"/>
      <w:b/>
      <w:szCs w:val="20"/>
    </w:rPr>
  </w:style>
  <w:style w:type="paragraph" w:customStyle="1" w:styleId="EditorComnt">
    <w:name w:val="EditorComnt"/>
    <w:basedOn w:val="Normal"/>
    <w:pPr>
      <w:pBdr>
        <w:top w:val="single" w:sz="18" w:space="1" w:color="993300"/>
        <w:left w:val="single" w:sz="18" w:space="4" w:color="993300"/>
        <w:bottom w:val="single" w:sz="18" w:space="1" w:color="993300"/>
        <w:right w:val="single" w:sz="18" w:space="4" w:color="993300"/>
      </w:pBdr>
      <w:tabs>
        <w:tab w:val="left" w:pos="1276"/>
      </w:tabs>
      <w:spacing w:after="120"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after="120" w:line="300" w:lineRule="atLeast"/>
    </w:pPr>
    <w:rPr>
      <w:rFonts w:ascii="Arial" w:hAnsi="Arial" w:cs="Arial"/>
      <w:b/>
      <w:sz w:val="22"/>
      <w:szCs w:val="20"/>
      <w:lang w:val="en-GB"/>
    </w:rPr>
  </w:style>
  <w:style w:type="paragraph" w:customStyle="1" w:styleId="Criterion">
    <w:name w:val="Criterion"/>
    <w:pPr>
      <w:ind w:left="2160"/>
    </w:pPr>
    <w:rPr>
      <w:lang w:val="en-US" w:eastAsia="en-US"/>
    </w:rPr>
  </w:style>
  <w:style w:type="paragraph" w:customStyle="1" w:styleId="Appendix">
    <w:name w:val="Appendix"/>
    <w:basedOn w:val="Normal"/>
    <w:pPr>
      <w:spacing w:after="120"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spacing w:after="120"/>
    </w:pPr>
    <w:rPr>
      <w:rFonts w:ascii="Arial" w:hAnsi="Arial"/>
      <w:b/>
      <w:szCs w:val="20"/>
    </w:rPr>
  </w:style>
  <w:style w:type="character" w:styleId="Strong">
    <w:name w:val="Strong"/>
    <w:qFormat/>
    <w:rPr>
      <w:b/>
      <w:bCs/>
    </w:rPr>
  </w:style>
  <w:style w:type="paragraph" w:customStyle="1" w:styleId="Normal1">
    <w:name w:val="Normal 1"/>
    <w:basedOn w:val="Normal"/>
    <w:pPr>
      <w:spacing w:after="120"/>
      <w:ind w:left="360"/>
    </w:pPr>
    <w:rPr>
      <w:szCs w:val="20"/>
    </w:rPr>
  </w:style>
  <w:style w:type="paragraph" w:customStyle="1" w:styleId="Paragraph4">
    <w:name w:val="Paragraph 4"/>
    <w:basedOn w:val="Normal"/>
    <w:pPr>
      <w:tabs>
        <w:tab w:val="num" w:pos="2160"/>
      </w:tabs>
      <w:spacing w:after="120"/>
      <w:ind w:left="2088" w:hanging="648"/>
    </w:pPr>
    <w:rPr>
      <w:rFonts w:ascii="Arial" w:hAnsi="Arial"/>
      <w:b/>
      <w:szCs w:val="20"/>
    </w:rPr>
  </w:style>
  <w:style w:type="paragraph" w:styleId="BodyTextIndent">
    <w:name w:val="Body Text Indent"/>
    <w:basedOn w:val="Normal"/>
    <w:link w:val="BodyTextIndentChar"/>
    <w:semiHidden/>
    <w:pPr>
      <w:ind w:left="1080"/>
    </w:pPr>
    <w:rPr>
      <w:szCs w:val="20"/>
    </w:rPr>
  </w:style>
  <w:style w:type="paragraph" w:customStyle="1" w:styleId="BulletH4">
    <w:name w:val="Bullet H4"/>
    <w:basedOn w:val="Normal"/>
    <w:pPr>
      <w:tabs>
        <w:tab w:val="num" w:pos="2700"/>
      </w:tabs>
      <w:spacing w:after="120"/>
      <w:ind w:left="2700" w:hanging="360"/>
    </w:pPr>
    <w:rPr>
      <w:rFonts w:ascii="Arial" w:hAnsi="Arial"/>
      <w:sz w:val="22"/>
      <w:szCs w:val="20"/>
    </w:rPr>
  </w:style>
  <w:style w:type="paragraph" w:styleId="TOC1">
    <w:name w:val="toc 1"/>
    <w:basedOn w:val="Normal"/>
    <w:next w:val="Normal"/>
    <w:autoRedefine/>
    <w:uiPriority w:val="39"/>
    <w:rsid w:val="004F270D"/>
    <w:pPr>
      <w:tabs>
        <w:tab w:val="left" w:pos="403"/>
        <w:tab w:val="right" w:leader="dot" w:pos="8820"/>
      </w:tabs>
      <w:ind w:right="-14"/>
    </w:pPr>
    <w:rPr>
      <w:rFonts w:ascii="Times New Roman Bold" w:hAnsi="Times New Roman Bold"/>
      <w:b/>
      <w:noProof/>
      <w:color w:val="0000FF"/>
      <w:kern w:val="24"/>
      <w:szCs w:val="20"/>
    </w:rPr>
  </w:style>
  <w:style w:type="paragraph" w:styleId="TOC2">
    <w:name w:val="toc 2"/>
    <w:basedOn w:val="Normal"/>
    <w:next w:val="Normal"/>
    <w:autoRedefine/>
    <w:uiPriority w:val="39"/>
    <w:rsid w:val="004F270D"/>
    <w:pPr>
      <w:tabs>
        <w:tab w:val="left" w:pos="720"/>
        <w:tab w:val="right" w:leader="dot" w:pos="8820"/>
      </w:tabs>
      <w:ind w:left="202" w:right="-14"/>
    </w:pPr>
    <w:rPr>
      <w:color w:val="0000FF"/>
      <w:kern w:val="24"/>
    </w:rPr>
  </w:style>
  <w:style w:type="paragraph" w:styleId="TOC3">
    <w:name w:val="toc 3"/>
    <w:basedOn w:val="Normal"/>
    <w:next w:val="Normal"/>
    <w:autoRedefine/>
    <w:uiPriority w:val="39"/>
    <w:rsid w:val="004F270D"/>
    <w:pPr>
      <w:tabs>
        <w:tab w:val="left" w:pos="1440"/>
        <w:tab w:val="right" w:leader="dot" w:pos="8820"/>
      </w:tabs>
      <w:ind w:left="480"/>
    </w:pPr>
    <w:rPr>
      <w:noProof/>
      <w:color w:val="0000F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link w:val="BalloonTextChar"/>
    <w:uiPriority w:val="99"/>
    <w:semiHidden/>
    <w:rPr>
      <w:rFonts w:ascii="Tahoma" w:hAnsi="Tahoma" w:cs="Tahoma"/>
      <w:sz w:val="16"/>
      <w:szCs w:val="16"/>
    </w:rPr>
  </w:style>
  <w:style w:type="paragraph" w:styleId="List">
    <w:name w:val="List"/>
    <w:basedOn w:val="Normal"/>
    <w:semiHidden/>
    <w:pPr>
      <w:numPr>
        <w:numId w:val="6"/>
      </w:numPr>
    </w:pPr>
    <w:rPr>
      <w:rFonts w:ascii="Arial" w:hAnsi="Arial"/>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after="120" w:line="480" w:lineRule="auto"/>
    </w:pPr>
  </w:style>
  <w:style w:type="paragraph" w:customStyle="1" w:styleId="Heading1-nonumbers">
    <w:name w:val="Heading 1 - no numbers"/>
    <w:basedOn w:val="Heading1"/>
    <w:next w:val="BodyText2"/>
    <w:autoRedefine/>
    <w:rsid w:val="00AC5C2C"/>
    <w:pPr>
      <w:keepLines/>
      <w:pageBreakBefore w:val="0"/>
      <w:numPr>
        <w:numId w:val="0"/>
      </w:numPr>
      <w:pBdr>
        <w:bottom w:val="none" w:sz="0" w:space="0" w:color="auto"/>
      </w:pBdr>
      <w:tabs>
        <w:tab w:val="left" w:pos="0"/>
        <w:tab w:val="left" w:pos="1440"/>
        <w:tab w:val="left" w:pos="4770"/>
      </w:tabs>
      <w:spacing w:before="60" w:after="180"/>
      <w:ind w:right="51"/>
      <w:jc w:val="center"/>
    </w:pPr>
    <w:rPr>
      <w:rFonts w:eastAsia="MS Mincho" w:cs="Arial"/>
      <w:bCs/>
      <w:caps w:val="0"/>
      <w:kern w:val="32"/>
      <w:szCs w:val="24"/>
      <w:lang w:eastAsia="ja-JP"/>
    </w:rPr>
  </w:style>
  <w:style w:type="paragraph" w:customStyle="1" w:styleId="Titlepageinfo">
    <w:name w:val="Title page info"/>
    <w:basedOn w:val="Normal"/>
    <w:next w:val="Normal"/>
    <w:autoRedefine/>
    <w:rsid w:val="00F74DC7"/>
    <w:pPr>
      <w:spacing w:before="840" w:after="480"/>
      <w:ind w:left="720" w:hanging="425"/>
      <w:jc w:val="left"/>
    </w:pPr>
    <w:rPr>
      <w:rFonts w:ascii="Arial" w:eastAsia="MS Mincho" w:hAnsi="Arial" w:cs="Arial"/>
      <w:b/>
      <w:color w:val="000080"/>
      <w:sz w:val="40"/>
      <w:szCs w:val="40"/>
      <w:lang w:eastAsia="ja-JP"/>
    </w:rPr>
  </w:style>
  <w:style w:type="paragraph" w:customStyle="1" w:styleId="NSNonStandard">
    <w:name w:val="NS:Non Standard"/>
    <w:basedOn w:val="Normal"/>
    <w:pPr>
      <w:suppressAutoHyphens/>
      <w:ind w:right="-20"/>
    </w:pPr>
    <w:rPr>
      <w:rFonts w:ascii="Arial" w:hAnsi="Arial"/>
      <w:sz w:val="20"/>
      <w:szCs w:val="20"/>
      <w:lang w:bidi="en-US"/>
    </w:rPr>
  </w:style>
  <w:style w:type="paragraph" w:customStyle="1" w:styleId="Heading1-nonumbering">
    <w:name w:val="Heading 1 - no numbering"/>
    <w:basedOn w:val="Normal"/>
    <w:next w:val="BodyText2"/>
    <w:autoRedefine/>
    <w:rsid w:val="00AC5C2C"/>
    <w:pPr>
      <w:keepNext/>
      <w:keepLines/>
      <w:tabs>
        <w:tab w:val="left" w:pos="720"/>
        <w:tab w:val="left" w:pos="1440"/>
        <w:tab w:val="left" w:pos="2610"/>
      </w:tabs>
      <w:spacing w:before="120" w:after="60"/>
      <w:jc w:val="center"/>
      <w:outlineLvl w:val="0"/>
    </w:pPr>
    <w:rPr>
      <w:rFonts w:ascii="Arial" w:eastAsia="MS Mincho" w:hAnsi="Arial" w:cs="Arial"/>
      <w:b/>
      <w:bCs/>
      <w:kern w:val="24"/>
      <w:lang w:eastAsia="ja-JP"/>
    </w:rPr>
  </w:style>
  <w:style w:type="paragraph" w:customStyle="1" w:styleId="StyleHeading1AsianMSMincho16ptNotAllcaps">
    <w:name w:val="Style Heading 1 + (Asian) MS Mincho 16 pt Not All caps"/>
    <w:basedOn w:val="Heading1"/>
    <w:autoRedefine/>
    <w:rsid w:val="00356BA1"/>
    <w:pPr>
      <w:pBdr>
        <w:bottom w:val="none" w:sz="0" w:space="0" w:color="auto"/>
      </w:pBdr>
      <w:tabs>
        <w:tab w:val="left" w:pos="720"/>
        <w:tab w:val="left" w:pos="1008"/>
      </w:tabs>
      <w:suppressAutoHyphens/>
      <w:spacing w:before="0" w:after="180"/>
      <w:ind w:right="-14"/>
    </w:pPr>
    <w:rPr>
      <w:rFonts w:eastAsia="MS Mincho"/>
      <w:bCs/>
      <w:caps w:val="0"/>
      <w:kern w:val="24"/>
      <w:sz w:val="32"/>
    </w:rPr>
  </w:style>
  <w:style w:type="paragraph" w:customStyle="1" w:styleId="Copyright">
    <w:name w:val="Copyright"/>
    <w:basedOn w:val="BodyText"/>
    <w:autoRedefine/>
    <w:pPr>
      <w:spacing w:after="60"/>
    </w:pPr>
  </w:style>
  <w:style w:type="paragraph" w:customStyle="1" w:styleId="Copyright-LAP">
    <w:name w:val="Copyright-LAP"/>
    <w:basedOn w:val="BodyText"/>
    <w:autoRedefine/>
  </w:style>
  <w:style w:type="paragraph" w:customStyle="1" w:styleId="Copyright-LAPBold">
    <w:name w:val="Copyright-LAP Bold"/>
    <w:basedOn w:val="Copyright-LAP"/>
    <w:autoRedefine/>
    <w:pPr>
      <w:spacing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lang w:val="en-US" w:eastAsia="en-US"/>
    </w:rPr>
  </w:style>
  <w:style w:type="character" w:customStyle="1" w:styleId="BalloonTextChar">
    <w:name w:val="Balloon Text Char"/>
    <w:link w:val="BalloonText"/>
    <w:uiPriority w:val="99"/>
    <w:semiHidden/>
    <w:rsid w:val="00C10B7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2B59"/>
    <w:rPr>
      <w:b/>
      <w:bCs/>
    </w:rPr>
  </w:style>
  <w:style w:type="character" w:customStyle="1" w:styleId="CommentTextChar">
    <w:name w:val="Comment Text Char"/>
    <w:basedOn w:val="DefaultParagraphFont"/>
    <w:link w:val="CommentText"/>
    <w:semiHidden/>
    <w:rsid w:val="00952B59"/>
    <w:rPr>
      <w:lang w:val="en-US" w:eastAsia="en-US"/>
    </w:rPr>
  </w:style>
  <w:style w:type="character" w:customStyle="1" w:styleId="CommentSubjectChar">
    <w:name w:val="Comment Subject Char"/>
    <w:basedOn w:val="CommentTextChar"/>
    <w:link w:val="CommentSubject"/>
    <w:uiPriority w:val="99"/>
    <w:semiHidden/>
    <w:rsid w:val="00952B59"/>
    <w:rPr>
      <w:b/>
      <w:bCs/>
      <w:lang w:val="en-US" w:eastAsia="en-US"/>
    </w:rPr>
  </w:style>
  <w:style w:type="paragraph" w:styleId="Revision">
    <w:name w:val="Revision"/>
    <w:hidden/>
    <w:uiPriority w:val="99"/>
    <w:semiHidden/>
    <w:rsid w:val="00227501"/>
    <w:rPr>
      <w:spacing w:val="1"/>
      <w:sz w:val="24"/>
      <w:szCs w:val="24"/>
      <w:lang w:val="en-US" w:eastAsia="en-US"/>
    </w:rPr>
  </w:style>
  <w:style w:type="paragraph" w:customStyle="1" w:styleId="Narrative">
    <w:name w:val="Narrative"/>
    <w:basedOn w:val="Normal"/>
    <w:rsid w:val="00675D8F"/>
    <w:pPr>
      <w:pBdr>
        <w:top w:val="single" w:sz="18" w:space="1" w:color="800000"/>
        <w:left w:val="single" w:sz="18" w:space="4" w:color="800000"/>
        <w:bottom w:val="single" w:sz="18" w:space="1" w:color="800000"/>
        <w:right w:val="single" w:sz="18" w:space="4" w:color="800000"/>
      </w:pBdr>
    </w:pPr>
    <w:rPr>
      <w:i/>
      <w:color w:val="800000"/>
    </w:rPr>
  </w:style>
  <w:style w:type="character" w:customStyle="1" w:styleId="BodyTextIndentChar">
    <w:name w:val="Body Text Indent Char"/>
    <w:basedOn w:val="DefaultParagraphFont"/>
    <w:link w:val="BodyTextIndent"/>
    <w:semiHidden/>
    <w:rsid w:val="006A6AFA"/>
    <w:rPr>
      <w:color w:val="000000"/>
      <w:sz w:val="24"/>
      <w:lang w:val="en-US" w:eastAsia="en-US"/>
    </w:rPr>
  </w:style>
  <w:style w:type="character" w:customStyle="1" w:styleId="FooterChar">
    <w:name w:val="Footer Char"/>
    <w:basedOn w:val="DefaultParagraphFont"/>
    <w:link w:val="Footer"/>
    <w:uiPriority w:val="99"/>
    <w:rsid w:val="00AC5C2C"/>
    <w:rPr>
      <w:color w:val="000000"/>
      <w:lang w:eastAsia="en-US"/>
    </w:rPr>
  </w:style>
  <w:style w:type="paragraph" w:customStyle="1" w:styleId="Public">
    <w:name w:val="Public"/>
    <w:basedOn w:val="Normal"/>
    <w:rsid w:val="00D538E5"/>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pPr>
  </w:style>
  <w:style w:type="paragraph" w:styleId="ListParagraph">
    <w:name w:val="List Paragraph"/>
    <w:basedOn w:val="Normal"/>
    <w:uiPriority w:val="34"/>
    <w:qFormat/>
    <w:rsid w:val="00D538E5"/>
    <w:pPr>
      <w:ind w:left="720"/>
      <w:contextualSpacing/>
    </w:pPr>
  </w:style>
  <w:style w:type="table" w:styleId="TableGrid">
    <w:name w:val="Table Grid"/>
    <w:basedOn w:val="TableNormal"/>
    <w:uiPriority w:val="59"/>
    <w:rsid w:val="00A6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kantarainitiative.org/confluence/x/DYBQAQ"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ntarainitiative.org/confluence/display/LC/Identity+Assurance+Framewor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kantarainitiative.org/confluence/display/LC/Identity+Assurance+Framewor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kantarainitiative.org/trustoperation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3AF8-4466-0942-BB99-D531CF40F661}">
  <ds:schemaRefs>
    <ds:schemaRef ds:uri="http://schemas.openxmlformats.org/officeDocument/2006/bibliography"/>
  </ds:schemaRefs>
</ds:datastoreItem>
</file>

<file path=customXml/itemProps2.xml><?xml version="1.0" encoding="utf-8"?>
<ds:datastoreItem xmlns:ds="http://schemas.openxmlformats.org/officeDocument/2006/customXml" ds:itemID="{59E531DA-F62E-884C-9526-7465FB6D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2014</Words>
  <Characters>11141</Characters>
  <Application>Microsoft Office Word</Application>
  <DocSecurity>0</DocSecurity>
  <Lines>226</Lines>
  <Paragraphs>100</Paragraphs>
  <ScaleCrop>false</ScaleCrop>
  <HeadingPairs>
    <vt:vector size="2" baseType="variant">
      <vt:variant>
        <vt:lpstr>Title</vt:lpstr>
      </vt:variant>
      <vt:variant>
        <vt:i4>1</vt:i4>
      </vt:variant>
    </vt:vector>
  </HeadingPairs>
  <TitlesOfParts>
    <vt:vector size="1" baseType="lpstr">
      <vt:lpstr>Kantara Identity Assurance Framework</vt:lpstr>
    </vt:vector>
  </TitlesOfParts>
  <Manager/>
  <Company/>
  <LinksUpToDate>false</LinksUpToDate>
  <CharactersWithSpaces>13108</CharactersWithSpaces>
  <SharedDoc>false</SharedDoc>
  <HyperlinkBase/>
  <HLinks>
    <vt:vector size="30" baseType="variant">
      <vt:variant>
        <vt:i4>5308505</vt:i4>
      </vt:variant>
      <vt:variant>
        <vt:i4>18</vt:i4>
      </vt:variant>
      <vt:variant>
        <vt:i4>0</vt:i4>
      </vt:variant>
      <vt:variant>
        <vt:i4>5</vt:i4>
      </vt:variant>
      <vt:variant>
        <vt:lpwstr>http://kantarainitiative.org</vt:lpwstr>
      </vt:variant>
      <vt:variant>
        <vt:lpwstr/>
      </vt:variant>
      <vt:variant>
        <vt:i4>5308416</vt:i4>
      </vt:variant>
      <vt:variant>
        <vt:i4>15</vt:i4>
      </vt:variant>
      <vt:variant>
        <vt:i4>0</vt:i4>
      </vt:variant>
      <vt:variant>
        <vt:i4>5</vt:i4>
      </vt:variant>
      <vt:variant>
        <vt:lpwstr>http://www.kantarainitiative.org</vt:lpwstr>
      </vt:variant>
      <vt:variant>
        <vt:lpwstr/>
      </vt:variant>
      <vt:variant>
        <vt:i4>1441804</vt:i4>
      </vt:variant>
      <vt:variant>
        <vt:i4>8</vt:i4>
      </vt:variant>
      <vt:variant>
        <vt:i4>0</vt:i4>
      </vt:variant>
      <vt:variant>
        <vt:i4>5</vt:i4>
      </vt:variant>
      <vt:variant>
        <vt:lpwstr/>
      </vt:variant>
      <vt:variant>
        <vt:lpwstr>_Toc260291047</vt:lpwstr>
      </vt:variant>
      <vt:variant>
        <vt:i4>1441805</vt:i4>
      </vt:variant>
      <vt:variant>
        <vt:i4>2</vt:i4>
      </vt:variant>
      <vt:variant>
        <vt:i4>0</vt:i4>
      </vt:variant>
      <vt:variant>
        <vt:i4>5</vt:i4>
      </vt:variant>
      <vt:variant>
        <vt:lpwstr/>
      </vt:variant>
      <vt:variant>
        <vt:lpwstr>_Toc260291046</vt:lpwstr>
      </vt:variant>
      <vt:variant>
        <vt:i4>3670030</vt:i4>
      </vt:variant>
      <vt:variant>
        <vt:i4>2050</vt:i4>
      </vt:variant>
      <vt:variant>
        <vt:i4>1025</vt:i4>
      </vt:variant>
      <vt:variant>
        <vt:i4>1</vt:i4>
      </vt:variant>
      <vt:variant>
        <vt:lpwstr>kantara_logo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 </dc:title>
  <dc:subject/>
  <dc:creator>Kantara Initiative ARB </dc:creator>
  <cp:keywords/>
  <dc:description/>
  <cp:lastModifiedBy>Ruth Puente</cp:lastModifiedBy>
  <cp:revision>3</cp:revision>
  <cp:lastPrinted>2012-08-30T18:04:00Z</cp:lastPrinted>
  <dcterms:created xsi:type="dcterms:W3CDTF">2018-01-31T12:33:00Z</dcterms:created>
  <dcterms:modified xsi:type="dcterms:W3CDTF">2019-10-16T14:38:00Z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