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4D" w:rsidRDefault="003D422A" w:rsidP="00A27814">
      <w:pPr>
        <w:pStyle w:val="Title"/>
      </w:pPr>
      <w:r>
        <w:t>L</w:t>
      </w:r>
      <w:r w:rsidR="008A119C">
        <w:t xml:space="preserve">eadership </w:t>
      </w:r>
      <w:r>
        <w:t>C</w:t>
      </w:r>
      <w:r w:rsidR="008A119C">
        <w:t>ouncil</w:t>
      </w:r>
      <w:r>
        <w:t xml:space="preserve"> update to the AGM</w:t>
      </w:r>
    </w:p>
    <w:p w:rsidR="003D422A" w:rsidRDefault="000B3975">
      <w:r>
        <w:t>2018-05-18</w:t>
      </w:r>
    </w:p>
    <w:p w:rsidR="000B3975" w:rsidRDefault="00A27814" w:rsidP="00A27814">
      <w:pPr>
        <w:pStyle w:val="Heading1"/>
      </w:pPr>
      <w:r>
        <w:t>Overview of 2017 Group activities</w:t>
      </w:r>
    </w:p>
    <w:p w:rsidR="00A27814" w:rsidRDefault="00067772">
      <w:r>
        <w:t xml:space="preserve">2017 was a productive year for Kantara Groups. The LC encouraged groups to finalize and publish Reports and Recommendations to bolster Kantara’s library of </w:t>
      </w:r>
      <w:r w:rsidR="00AB393B">
        <w:t xml:space="preserve">available </w:t>
      </w:r>
      <w:r>
        <w:t>material.</w:t>
      </w:r>
    </w:p>
    <w:p w:rsidR="001775E0" w:rsidRDefault="001775E0" w:rsidP="0008538B">
      <w:r>
        <w:t xml:space="preserve">New Groups </w:t>
      </w:r>
      <w:r w:rsidR="007F1799">
        <w:t>in 2017</w:t>
      </w:r>
      <w:r>
        <w:t xml:space="preserve">: </w:t>
      </w:r>
      <w:r w:rsidR="000C7A46">
        <w:t>Consent Management Solutions WG</w:t>
      </w:r>
      <w:r w:rsidR="00832490">
        <w:t>.</w:t>
      </w:r>
    </w:p>
    <w:p w:rsidR="007F1799" w:rsidRDefault="007F1799" w:rsidP="0008538B">
      <w:r>
        <w:t xml:space="preserve">Groups </w:t>
      </w:r>
      <w:r w:rsidR="007B6239">
        <w:t xml:space="preserve">concluded </w:t>
      </w:r>
      <w:r w:rsidR="00832490">
        <w:t xml:space="preserve">or dormant </w:t>
      </w:r>
      <w:r>
        <w:t xml:space="preserve">in 2017: </w:t>
      </w:r>
      <w:r w:rsidR="007B6239">
        <w:t>Blockchain &amp; Smart Contracts DG</w:t>
      </w:r>
      <w:r w:rsidR="00E20EE7">
        <w:t>; ID Pro DG</w:t>
      </w:r>
      <w:r w:rsidR="007B6239">
        <w:t xml:space="preserve">; </w:t>
      </w:r>
      <w:r w:rsidR="00832490">
        <w:t>Health ID Assurance</w:t>
      </w:r>
      <w:r w:rsidR="00D51527">
        <w:t xml:space="preserve"> WG</w:t>
      </w:r>
      <w:r w:rsidR="00832490">
        <w:t>; UMA Dev WG.</w:t>
      </w:r>
    </w:p>
    <w:p w:rsidR="0008538B" w:rsidRDefault="00EA4F10" w:rsidP="0008538B">
      <w:r>
        <w:t xml:space="preserve">2017 saw the </w:t>
      </w:r>
      <w:r w:rsidR="00C564F6">
        <w:t>continuation</w:t>
      </w:r>
      <w:r>
        <w:t xml:space="preserve"> of the </w:t>
      </w:r>
      <w:proofErr w:type="spellStart"/>
      <w:r>
        <w:t>IDPro</w:t>
      </w:r>
      <w:proofErr w:type="spellEnd"/>
      <w:r>
        <w:t xml:space="preserve"> DG, formed to address organization startup items such as mission, policies, potential member services and knowledge base taxonomy.</w:t>
      </w:r>
      <w:r w:rsidR="00E20EE7">
        <w:t xml:space="preserve"> ID Pro successfully launched in the first half of 2017.</w:t>
      </w:r>
    </w:p>
    <w:p w:rsidR="004F290D" w:rsidRDefault="0008538B" w:rsidP="0008538B">
      <w:pPr>
        <w:tabs>
          <w:tab w:val="num" w:pos="1440"/>
        </w:tabs>
      </w:pPr>
      <w:r>
        <w:t xml:space="preserve">At the February 2017 Board of Directors meeting, five focus areas for 2017 were agreed: a) </w:t>
      </w:r>
      <w:r w:rsidR="004F6C27" w:rsidRPr="0008538B">
        <w:t>Financial sustainability</w:t>
      </w:r>
      <w:r>
        <w:t xml:space="preserve">; b) </w:t>
      </w:r>
      <w:r w:rsidR="004F6C27" w:rsidRPr="0008538B">
        <w:t>Creating member value</w:t>
      </w:r>
      <w:r>
        <w:t xml:space="preserve">; c) </w:t>
      </w:r>
      <w:r w:rsidR="004F6C27" w:rsidRPr="0008538B">
        <w:t>Clear principle for alignment</w:t>
      </w:r>
      <w:r>
        <w:t xml:space="preserve">; d) </w:t>
      </w:r>
      <w:r w:rsidR="004F6C27" w:rsidRPr="0008538B">
        <w:t>Ensure agility and scalability</w:t>
      </w:r>
      <w:r>
        <w:t xml:space="preserve">; and, e) </w:t>
      </w:r>
      <w:r w:rsidR="004F6C27" w:rsidRPr="0008538B">
        <w:t>Emphasis on brand awareness and name recognition</w:t>
      </w:r>
      <w:r>
        <w:t>.</w:t>
      </w:r>
    </w:p>
    <w:p w:rsidR="0008538B" w:rsidRDefault="0008538B" w:rsidP="0008538B">
      <w:pPr>
        <w:tabs>
          <w:tab w:val="num" w:pos="1440"/>
        </w:tabs>
        <w:rPr>
          <w:lang w:val="en-CA"/>
        </w:rPr>
      </w:pPr>
      <w:r>
        <w:rPr>
          <w:lang w:val="en-CA"/>
        </w:rPr>
        <w:t xml:space="preserve">The LC and Groups delivered on the focus areas within our control (b, c, d, e). 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595"/>
        <w:gridCol w:w="5755"/>
      </w:tblGrid>
      <w:tr w:rsidR="007A2797" w:rsidTr="002D7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5" w:type="dxa"/>
          </w:tcPr>
          <w:p w:rsidR="007A2797" w:rsidRDefault="007A2797" w:rsidP="00272358">
            <w:r>
              <w:t>Focus Area</w:t>
            </w:r>
          </w:p>
        </w:tc>
        <w:tc>
          <w:tcPr>
            <w:tcW w:w="5755" w:type="dxa"/>
          </w:tcPr>
          <w:p w:rsidR="007A2797" w:rsidRDefault="007A2797" w:rsidP="00272358">
            <w:r>
              <w:t>Group activity</w:t>
            </w:r>
          </w:p>
        </w:tc>
      </w:tr>
      <w:tr w:rsidR="007A2797" w:rsidTr="002D7F3F">
        <w:tc>
          <w:tcPr>
            <w:tcW w:w="3595" w:type="dxa"/>
          </w:tcPr>
          <w:p w:rsidR="007A2797" w:rsidRDefault="007A2797" w:rsidP="00272358">
            <w:r>
              <w:t>b) Creating member value</w:t>
            </w:r>
          </w:p>
        </w:tc>
        <w:tc>
          <w:tcPr>
            <w:tcW w:w="5755" w:type="dxa"/>
          </w:tcPr>
          <w:p w:rsidR="007A2797" w:rsidRDefault="007A2797" w:rsidP="00272358">
            <w:pPr>
              <w:pStyle w:val="ListParagraph"/>
              <w:numPr>
                <w:ilvl w:val="0"/>
                <w:numId w:val="2"/>
              </w:numPr>
            </w:pPr>
            <w:r>
              <w:t>Heavy focus on publishing Reports and Recommendations</w:t>
            </w:r>
            <w:r w:rsidR="00703FC4">
              <w:t xml:space="preserve"> – see Statistics for detail</w:t>
            </w:r>
          </w:p>
          <w:p w:rsidR="000E5B1E" w:rsidRDefault="000E5B1E" w:rsidP="00272358">
            <w:pPr>
              <w:pStyle w:val="ListParagraph"/>
              <w:numPr>
                <w:ilvl w:val="0"/>
                <w:numId w:val="2"/>
              </w:numPr>
            </w:pPr>
            <w:r>
              <w:t xml:space="preserve">Lots of effort at IA WG to develop material to support certification </w:t>
            </w:r>
            <w:proofErr w:type="spellStart"/>
            <w:r>
              <w:t>agains</w:t>
            </w:r>
            <w:proofErr w:type="spellEnd"/>
            <w:r>
              <w:t xml:space="preserve"> 800-63-3 in support of Kantara’s approved providers and assessors</w:t>
            </w:r>
          </w:p>
        </w:tc>
      </w:tr>
      <w:tr w:rsidR="007A2797" w:rsidTr="002D7F3F">
        <w:tc>
          <w:tcPr>
            <w:tcW w:w="3595" w:type="dxa"/>
          </w:tcPr>
          <w:p w:rsidR="007A2797" w:rsidRDefault="007A2797" w:rsidP="00272358">
            <w:r>
              <w:t>c) Clear principle for alignment</w:t>
            </w:r>
          </w:p>
        </w:tc>
        <w:tc>
          <w:tcPr>
            <w:tcW w:w="5755" w:type="dxa"/>
          </w:tcPr>
          <w:p w:rsidR="007A2797" w:rsidRDefault="007A2797" w:rsidP="00272358">
            <w:pPr>
              <w:pStyle w:val="ListParagraph"/>
              <w:numPr>
                <w:ilvl w:val="0"/>
                <w:numId w:val="2"/>
              </w:numPr>
            </w:pPr>
            <w:r>
              <w:t>See the Balanced Scorecard discussion in the 2018</w:t>
            </w:r>
            <w:r w:rsidR="001E0F83">
              <w:noBreakHyphen/>
            </w:r>
            <w:proofErr w:type="gramStart"/>
            <w:r>
              <w:t>05  Plenary</w:t>
            </w:r>
            <w:proofErr w:type="gramEnd"/>
            <w:r>
              <w:t xml:space="preserve"> meeting</w:t>
            </w:r>
            <w:r w:rsidR="001E0F83">
              <w:t xml:space="preserve"> materials</w:t>
            </w:r>
          </w:p>
          <w:p w:rsidR="00E86B3B" w:rsidRDefault="00E86B3B" w:rsidP="00272358">
            <w:pPr>
              <w:pStyle w:val="ListParagraph"/>
              <w:numPr>
                <w:ilvl w:val="0"/>
                <w:numId w:val="2"/>
              </w:numPr>
            </w:pPr>
            <w:r>
              <w:t>Continued monthly Group status updates to the Board</w:t>
            </w:r>
          </w:p>
        </w:tc>
      </w:tr>
      <w:tr w:rsidR="007A2797" w:rsidTr="002D7F3F">
        <w:tc>
          <w:tcPr>
            <w:tcW w:w="3595" w:type="dxa"/>
          </w:tcPr>
          <w:p w:rsidR="007A2797" w:rsidRDefault="007A2797" w:rsidP="00272358">
            <w:r>
              <w:t>d) Ensure agility and scalability</w:t>
            </w:r>
          </w:p>
        </w:tc>
        <w:tc>
          <w:tcPr>
            <w:tcW w:w="5755" w:type="dxa"/>
          </w:tcPr>
          <w:p w:rsidR="00B9022B" w:rsidRDefault="002D7F3F" w:rsidP="00B9022B">
            <w:pPr>
              <w:pStyle w:val="ListParagraph"/>
              <w:numPr>
                <w:ilvl w:val="0"/>
                <w:numId w:val="2"/>
              </w:numPr>
            </w:pPr>
            <w:r>
              <w:t xml:space="preserve">IA WG turned their attention to high </w:t>
            </w:r>
            <w:r w:rsidR="00595A60">
              <w:t xml:space="preserve">value </w:t>
            </w:r>
            <w:r>
              <w:t>or high interest work areas</w:t>
            </w:r>
          </w:p>
        </w:tc>
      </w:tr>
      <w:tr w:rsidR="007A2797" w:rsidTr="002D7F3F">
        <w:tc>
          <w:tcPr>
            <w:tcW w:w="3595" w:type="dxa"/>
          </w:tcPr>
          <w:p w:rsidR="007A2797" w:rsidRDefault="007A2797" w:rsidP="00272358">
            <w:r>
              <w:t>e) Emphasis on brand awareness and name recognition</w:t>
            </w:r>
          </w:p>
        </w:tc>
        <w:tc>
          <w:tcPr>
            <w:tcW w:w="5755" w:type="dxa"/>
          </w:tcPr>
          <w:p w:rsidR="007A2797" w:rsidRDefault="002D7F3F" w:rsidP="00272358">
            <w:pPr>
              <w:pStyle w:val="ListParagraph"/>
              <w:numPr>
                <w:ilvl w:val="0"/>
                <w:numId w:val="2"/>
              </w:numPr>
            </w:pPr>
            <w:r>
              <w:t xml:space="preserve">Many ‘Kantara’ presentations and speakers at industry and vendor conferences and events – in most cases, several sessions at major conferences and Kantara pre-conference workshops at EIC, Cloud Identity Summit, 2x </w:t>
            </w:r>
            <w:proofErr w:type="spellStart"/>
            <w:r>
              <w:t>Kuppinger</w:t>
            </w:r>
            <w:proofErr w:type="spellEnd"/>
            <w:r>
              <w:t xml:space="preserve"> Cole CIAM World.</w:t>
            </w:r>
          </w:p>
          <w:p w:rsidR="002D7F3F" w:rsidRDefault="002D7F3F" w:rsidP="00272358">
            <w:pPr>
              <w:pStyle w:val="ListParagraph"/>
              <w:numPr>
                <w:ilvl w:val="0"/>
                <w:numId w:val="2"/>
              </w:numPr>
            </w:pPr>
            <w:r>
              <w:t>Active use of Liaison agreements with EEMA, ISO SC 27 WG 5, IDESG</w:t>
            </w:r>
          </w:p>
        </w:tc>
      </w:tr>
    </w:tbl>
    <w:p w:rsidR="004F6C27" w:rsidRDefault="004F6C27" w:rsidP="0008538B">
      <w:pPr>
        <w:tabs>
          <w:tab w:val="num" w:pos="1440"/>
        </w:tabs>
        <w:rPr>
          <w:lang w:val="en-CA"/>
        </w:rPr>
      </w:pPr>
    </w:p>
    <w:p w:rsidR="007A2797" w:rsidRPr="0008538B" w:rsidRDefault="00480AB8" w:rsidP="0008538B">
      <w:pPr>
        <w:tabs>
          <w:tab w:val="num" w:pos="1440"/>
        </w:tabs>
        <w:rPr>
          <w:lang w:val="en-CA"/>
        </w:rPr>
      </w:pPr>
      <w:r>
        <w:rPr>
          <w:lang w:val="en-CA"/>
        </w:rPr>
        <w:lastRenderedPageBreak/>
        <w:t xml:space="preserve">Document downloads from the Reports and Recommendations site were tracked through the year as a simplistic measure of interest in Group outputs. </w:t>
      </w:r>
      <w:r w:rsidR="002A4FB0">
        <w:rPr>
          <w:lang w:val="en-CA"/>
        </w:rPr>
        <w:t xml:space="preserve">There were consistent download </w:t>
      </w:r>
      <w:proofErr w:type="gramStart"/>
      <w:r w:rsidR="002A4FB0">
        <w:rPr>
          <w:lang w:val="en-CA"/>
        </w:rPr>
        <w:t>levels</w:t>
      </w:r>
      <w:proofErr w:type="gramEnd"/>
      <w:r w:rsidR="002A4FB0">
        <w:rPr>
          <w:lang w:val="en-CA"/>
        </w:rPr>
        <w:t xml:space="preserve"> but the low number of downloads suggests that these were Kantara ‘friends and family’. Early 2018 download counts show a significantly higher download level – possibly due to marketing of new publications.</w:t>
      </w:r>
    </w:p>
    <w:p w:rsidR="0008538B" w:rsidRDefault="0008538B"/>
    <w:p w:rsidR="00A27814" w:rsidRDefault="00A419C6" w:rsidP="00A27814">
      <w:pPr>
        <w:pStyle w:val="Heading1"/>
      </w:pPr>
      <w:r>
        <w:t xml:space="preserve">Some </w:t>
      </w:r>
      <w:r w:rsidR="00A27814">
        <w:t>Statistics</w:t>
      </w:r>
      <w:r w:rsidR="00CC23FE">
        <w:t xml:space="preserve"> for 2017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4675"/>
        <w:gridCol w:w="4675"/>
      </w:tblGrid>
      <w:tr w:rsidR="00A27814" w:rsidTr="00A2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:rsidR="00A27814" w:rsidRDefault="00A27814">
            <w:r>
              <w:t>Item</w:t>
            </w:r>
          </w:p>
        </w:tc>
        <w:tc>
          <w:tcPr>
            <w:tcW w:w="4675" w:type="dxa"/>
          </w:tcPr>
          <w:p w:rsidR="00A27814" w:rsidRDefault="00A27814">
            <w:r>
              <w:t>Comment</w:t>
            </w:r>
          </w:p>
        </w:tc>
      </w:tr>
      <w:tr w:rsidR="00A27814" w:rsidTr="00A27814">
        <w:tc>
          <w:tcPr>
            <w:tcW w:w="4675" w:type="dxa"/>
          </w:tcPr>
          <w:p w:rsidR="00A27814" w:rsidRDefault="00982A70">
            <w:r>
              <w:rPr>
                <w:b/>
              </w:rPr>
              <w:t xml:space="preserve">(2) </w:t>
            </w:r>
            <w:r w:rsidR="00A27814" w:rsidRPr="00693FB9">
              <w:rPr>
                <w:b/>
              </w:rPr>
              <w:t>Reports published</w:t>
            </w:r>
            <w:r w:rsidR="004F22B1">
              <w:t xml:space="preserve"> </w:t>
            </w:r>
            <w:r w:rsidR="005B6AC4">
              <w:br/>
            </w:r>
            <w:r>
              <w:t xml:space="preserve">(2) </w:t>
            </w:r>
            <w:r w:rsidR="004F22B1">
              <w:t>in final approval stages</w:t>
            </w:r>
            <w:r>
              <w:t>*</w:t>
            </w:r>
          </w:p>
        </w:tc>
        <w:tc>
          <w:tcPr>
            <w:tcW w:w="4675" w:type="dxa"/>
          </w:tcPr>
          <w:p w:rsidR="00A27814" w:rsidRPr="00693FB9" w:rsidRDefault="0056646D" w:rsidP="0035012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3FB9">
              <w:rPr>
                <w:b/>
              </w:rPr>
              <w:t xml:space="preserve">Report from the Blockchain and Smart Contracts Discussion Group </w:t>
            </w:r>
          </w:p>
          <w:p w:rsidR="00094540" w:rsidRPr="00693FB9" w:rsidRDefault="00094540" w:rsidP="0035012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3FB9">
              <w:rPr>
                <w:b/>
              </w:rPr>
              <w:t>Refining the Design Principles of Identity Relationship Management</w:t>
            </w:r>
            <w:r w:rsidR="006D12E8" w:rsidRPr="00693FB9">
              <w:rPr>
                <w:b/>
              </w:rPr>
              <w:t xml:space="preserve"> </w:t>
            </w:r>
          </w:p>
          <w:p w:rsidR="000E26AA" w:rsidRDefault="000E26AA" w:rsidP="0035012A">
            <w:pPr>
              <w:pStyle w:val="ListParagraph"/>
              <w:numPr>
                <w:ilvl w:val="0"/>
                <w:numId w:val="2"/>
              </w:numPr>
            </w:pPr>
            <w:r>
              <w:t xml:space="preserve">Code of </w:t>
            </w:r>
            <w:r w:rsidR="00693FB9">
              <w:t>Conduct for Relying Parties</w:t>
            </w:r>
          </w:p>
          <w:p w:rsidR="00693FB9" w:rsidRDefault="00693FB9" w:rsidP="0035012A">
            <w:pPr>
              <w:pStyle w:val="ListParagraph"/>
              <w:numPr>
                <w:ilvl w:val="0"/>
                <w:numId w:val="2"/>
              </w:numPr>
            </w:pPr>
            <w:r>
              <w:t>A Proposed Licensing Model for UMA</w:t>
            </w:r>
          </w:p>
        </w:tc>
      </w:tr>
      <w:tr w:rsidR="00A27814" w:rsidTr="00A27814">
        <w:tc>
          <w:tcPr>
            <w:tcW w:w="4675" w:type="dxa"/>
          </w:tcPr>
          <w:p w:rsidR="00A27814" w:rsidRDefault="00974CE7">
            <w:r>
              <w:rPr>
                <w:b/>
              </w:rPr>
              <w:t>(0</w:t>
            </w:r>
            <w:r w:rsidR="00982A70">
              <w:rPr>
                <w:b/>
              </w:rPr>
              <w:t xml:space="preserve">) </w:t>
            </w:r>
            <w:r w:rsidR="00A27814" w:rsidRPr="00693FB9">
              <w:rPr>
                <w:b/>
              </w:rPr>
              <w:t>Recommendations published</w:t>
            </w:r>
            <w:r w:rsidR="004F22B1">
              <w:t xml:space="preserve"> </w:t>
            </w:r>
          </w:p>
        </w:tc>
        <w:tc>
          <w:tcPr>
            <w:tcW w:w="4675" w:type="dxa"/>
          </w:tcPr>
          <w:p w:rsidR="00094540" w:rsidRDefault="00094540" w:rsidP="005B6AC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27814" w:rsidTr="00A27814">
        <w:tc>
          <w:tcPr>
            <w:tcW w:w="4675" w:type="dxa"/>
          </w:tcPr>
          <w:p w:rsidR="00A27814" w:rsidRDefault="00974CE7">
            <w:r>
              <w:rPr>
                <w:b/>
              </w:rPr>
              <w:t>(3</w:t>
            </w:r>
            <w:r w:rsidR="00982A70">
              <w:rPr>
                <w:b/>
              </w:rPr>
              <w:t xml:space="preserve">) </w:t>
            </w:r>
            <w:r w:rsidR="00B83ADA" w:rsidRPr="00693FB9">
              <w:rPr>
                <w:b/>
              </w:rPr>
              <w:t>Technical Specifica</w:t>
            </w:r>
            <w:r w:rsidR="00A27814" w:rsidRPr="00693FB9">
              <w:rPr>
                <w:b/>
              </w:rPr>
              <w:t>t</w:t>
            </w:r>
            <w:r w:rsidR="00B83ADA" w:rsidRPr="00693FB9">
              <w:rPr>
                <w:b/>
              </w:rPr>
              <w:t>i</w:t>
            </w:r>
            <w:r w:rsidR="00A27814" w:rsidRPr="00693FB9">
              <w:rPr>
                <w:b/>
              </w:rPr>
              <w:t>ons published</w:t>
            </w:r>
            <w:r w:rsidR="004F22B1">
              <w:t xml:space="preserve"> </w:t>
            </w:r>
            <w:r w:rsidR="005B6AC4">
              <w:br/>
            </w:r>
            <w:r w:rsidR="00982A70">
              <w:t>(1)</w:t>
            </w:r>
            <w:r w:rsidR="004F22B1">
              <w:t xml:space="preserve"> in final approval stages</w:t>
            </w:r>
            <w:r w:rsidR="00982A70">
              <w:t>*</w:t>
            </w:r>
          </w:p>
        </w:tc>
        <w:tc>
          <w:tcPr>
            <w:tcW w:w="4675" w:type="dxa"/>
          </w:tcPr>
          <w:p w:rsidR="00094540" w:rsidRDefault="0056646D" w:rsidP="0009454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3FB9">
              <w:rPr>
                <w:b/>
              </w:rPr>
              <w:t>Consent Receipt v1.0</w:t>
            </w:r>
          </w:p>
          <w:p w:rsidR="00974CE7" w:rsidRPr="00693FB9" w:rsidRDefault="00974CE7" w:rsidP="00974C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3FB9">
              <w:rPr>
                <w:b/>
              </w:rPr>
              <w:t>UMA 2.0 Grant for OAuth 2.0</w:t>
            </w:r>
          </w:p>
          <w:p w:rsidR="00974CE7" w:rsidRDefault="00974CE7" w:rsidP="00974C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93FB9">
              <w:rPr>
                <w:b/>
              </w:rPr>
              <w:t>Federated Authorization for UMA 2.0</w:t>
            </w:r>
          </w:p>
          <w:p w:rsidR="00693FB9" w:rsidRPr="00693FB9" w:rsidRDefault="00693FB9" w:rsidP="00974C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SAML v2.0 Implementation Profile for Federation Interoperability</w:t>
            </w:r>
          </w:p>
        </w:tc>
      </w:tr>
      <w:tr w:rsidR="002F3A6B" w:rsidTr="00A27814">
        <w:tc>
          <w:tcPr>
            <w:tcW w:w="4675" w:type="dxa"/>
          </w:tcPr>
          <w:p w:rsidR="002F3A6B" w:rsidRDefault="00CC23FE">
            <w:r>
              <w:t>Number</w:t>
            </w:r>
            <w:r w:rsidR="002F3A6B">
              <w:t xml:space="preserve"> of</w:t>
            </w:r>
            <w:r w:rsidR="007527D9">
              <w:t xml:space="preserve"> active</w:t>
            </w:r>
            <w:r w:rsidR="002F3A6B">
              <w:t xml:space="preserve"> Groups</w:t>
            </w:r>
            <w:r>
              <w:t xml:space="preserve"> at year-end</w:t>
            </w:r>
          </w:p>
        </w:tc>
        <w:tc>
          <w:tcPr>
            <w:tcW w:w="4675" w:type="dxa"/>
          </w:tcPr>
          <w:p w:rsidR="00855829" w:rsidRDefault="00974CE7">
            <w:r>
              <w:t>2</w:t>
            </w:r>
            <w:bookmarkStart w:id="0" w:name="_GoBack"/>
            <w:bookmarkEnd w:id="0"/>
            <w:r w:rsidR="00855829">
              <w:t xml:space="preserve"> Discussion Groups</w:t>
            </w:r>
          </w:p>
          <w:p w:rsidR="002F3A6B" w:rsidRDefault="00855829">
            <w:r>
              <w:t>8 Work Groups</w:t>
            </w:r>
          </w:p>
        </w:tc>
      </w:tr>
    </w:tbl>
    <w:p w:rsidR="00A27814" w:rsidRPr="00982A70" w:rsidRDefault="00982A70">
      <w:pPr>
        <w:rPr>
          <w:i/>
        </w:rPr>
      </w:pPr>
      <w:r w:rsidRPr="00982A70">
        <w:rPr>
          <w:i/>
        </w:rPr>
        <w:t>* WG work complete, awaiting final ballots and publishing steps</w:t>
      </w:r>
    </w:p>
    <w:p w:rsidR="007F7BB0" w:rsidRDefault="007F7BB0" w:rsidP="007F7BB0">
      <w:pPr>
        <w:pStyle w:val="Heading1"/>
      </w:pPr>
      <w:r>
        <w:lastRenderedPageBreak/>
        <w:t>Publication Downloads</w:t>
      </w:r>
    </w:p>
    <w:p w:rsidR="0005522C" w:rsidRPr="00692080" w:rsidRDefault="0005522C" w:rsidP="0005522C">
      <w:pPr>
        <w:keepNext/>
        <w:rPr>
          <w:b/>
        </w:rPr>
      </w:pPr>
      <w:r>
        <w:rPr>
          <w:b/>
        </w:rPr>
        <w:t>Most-</w:t>
      </w:r>
      <w:r w:rsidRPr="00692080">
        <w:rPr>
          <w:b/>
        </w:rPr>
        <w:t>downloaded files – 2017</w:t>
      </w:r>
    </w:p>
    <w:p w:rsidR="0005522C" w:rsidRDefault="0005522C" w:rsidP="0005522C">
      <w:r w:rsidRPr="004B1D12">
        <w:rPr>
          <w:noProof/>
        </w:rPr>
        <w:drawing>
          <wp:inline distT="0" distB="0" distL="0" distR="0" wp14:anchorId="391715C9" wp14:editId="45AB8674">
            <wp:extent cx="5943600" cy="633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2C" w:rsidRDefault="0005522C" w:rsidP="00A65DD3">
      <w:pPr>
        <w:keepNext/>
        <w:rPr>
          <w:b/>
        </w:rPr>
      </w:pPr>
    </w:p>
    <w:p w:rsidR="00A65DD3" w:rsidRPr="00692080" w:rsidRDefault="00A65DD3" w:rsidP="00A65DD3">
      <w:pPr>
        <w:keepNext/>
        <w:rPr>
          <w:b/>
        </w:rPr>
      </w:pPr>
      <w:r w:rsidRPr="00692080">
        <w:rPr>
          <w:b/>
        </w:rPr>
        <w:t>Downloads per month - 2017</w:t>
      </w:r>
    </w:p>
    <w:p w:rsidR="00A65DD3" w:rsidRPr="00A65DD3" w:rsidRDefault="00A65DD3" w:rsidP="00A65DD3">
      <w:r w:rsidRPr="00A65DD3">
        <w:rPr>
          <w:noProof/>
        </w:rPr>
        <w:drawing>
          <wp:inline distT="0" distB="0" distL="0" distR="0" wp14:anchorId="22F3EC2F" wp14:editId="416926AF">
            <wp:extent cx="5943600" cy="2823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2C" w:rsidRPr="001A1249" w:rsidRDefault="001A1249" w:rsidP="007F7BB0">
      <w:pPr>
        <w:rPr>
          <w:b/>
        </w:rPr>
      </w:pPr>
      <w:r w:rsidRPr="001A1249">
        <w:rPr>
          <w:b/>
        </w:rPr>
        <w:t>Downloads per month comparison – 2018 to March 31, 2018</w:t>
      </w:r>
      <w:r w:rsidR="00474C56">
        <w:rPr>
          <w:b/>
        </w:rPr>
        <w:t xml:space="preserve"> v 2017</w:t>
      </w:r>
    </w:p>
    <w:p w:rsidR="0005522C" w:rsidRDefault="0005522C" w:rsidP="007F7BB0">
      <w:r w:rsidRPr="0005522C">
        <w:rPr>
          <w:noProof/>
        </w:rPr>
        <w:drawing>
          <wp:inline distT="0" distB="0" distL="0" distR="0" wp14:anchorId="31EA558D" wp14:editId="68980618">
            <wp:extent cx="5943600" cy="2661285"/>
            <wp:effectExtent l="0" t="0" r="1270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249" w:rsidRPr="007F7BB0" w:rsidRDefault="001A1249" w:rsidP="007F7BB0"/>
    <w:sectPr w:rsidR="001A1249" w:rsidRPr="007F7BB0" w:rsidSect="0049023A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2A" w:rsidRDefault="003D422A" w:rsidP="008D4859">
      <w:pPr>
        <w:spacing w:after="0" w:line="240" w:lineRule="auto"/>
      </w:pPr>
      <w:r>
        <w:separator/>
      </w:r>
    </w:p>
  </w:endnote>
  <w:endnote w:type="continuationSeparator" w:id="0">
    <w:p w:rsidR="003D422A" w:rsidRDefault="003D422A" w:rsidP="008D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59" w:rsidRDefault="008D4859" w:rsidP="009316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859" w:rsidRDefault="008D4859" w:rsidP="008D48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59" w:rsidRDefault="008D4859" w:rsidP="003F33DC">
    <w:pPr>
      <w:pStyle w:val="Footer"/>
      <w:framePr w:wrap="none" w:vAnchor="text" w:hAnchor="page" w:x="9802" w:y="135"/>
      <w:rPr>
        <w:rStyle w:val="PageNumber"/>
      </w:rPr>
    </w:pPr>
    <w:r>
      <w:rPr>
        <w:rStyle w:val="PageNumber"/>
      </w:rPr>
      <w:t xml:space="preserve">—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3D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8D4859" w:rsidRDefault="008D4859" w:rsidP="008D4859">
    <w:pPr>
      <w:pStyle w:val="Footer"/>
      <w:pBdr>
        <w:top w:val="dotted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2A" w:rsidRDefault="003D422A" w:rsidP="008D4859">
      <w:pPr>
        <w:spacing w:after="0" w:line="240" w:lineRule="auto"/>
      </w:pPr>
      <w:r>
        <w:separator/>
      </w:r>
    </w:p>
  </w:footnote>
  <w:footnote w:type="continuationSeparator" w:id="0">
    <w:p w:rsidR="003D422A" w:rsidRDefault="003D422A" w:rsidP="008D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BCF"/>
    <w:multiLevelType w:val="hybridMultilevel"/>
    <w:tmpl w:val="BD28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0819"/>
    <w:multiLevelType w:val="hybridMultilevel"/>
    <w:tmpl w:val="98C4FF1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24703"/>
    <w:multiLevelType w:val="hybridMultilevel"/>
    <w:tmpl w:val="1A78E620"/>
    <w:lvl w:ilvl="0" w:tplc="DC0C45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6947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24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A3C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03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27D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A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27B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7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2A"/>
    <w:rsid w:val="00036E56"/>
    <w:rsid w:val="0005522C"/>
    <w:rsid w:val="00067772"/>
    <w:rsid w:val="0007444C"/>
    <w:rsid w:val="0008538B"/>
    <w:rsid w:val="00094540"/>
    <w:rsid w:val="000B3975"/>
    <w:rsid w:val="000C7A46"/>
    <w:rsid w:val="000E143F"/>
    <w:rsid w:val="000E26AA"/>
    <w:rsid w:val="000E3100"/>
    <w:rsid w:val="000E5B1E"/>
    <w:rsid w:val="00101EA6"/>
    <w:rsid w:val="001775E0"/>
    <w:rsid w:val="001A1249"/>
    <w:rsid w:val="001E0F83"/>
    <w:rsid w:val="001E62F6"/>
    <w:rsid w:val="002A4FB0"/>
    <w:rsid w:val="002D7F3F"/>
    <w:rsid w:val="002F3A6B"/>
    <w:rsid w:val="0035012A"/>
    <w:rsid w:val="003C036D"/>
    <w:rsid w:val="003D422A"/>
    <w:rsid w:val="003F33DC"/>
    <w:rsid w:val="00441B92"/>
    <w:rsid w:val="00474C56"/>
    <w:rsid w:val="00480AB8"/>
    <w:rsid w:val="0049023A"/>
    <w:rsid w:val="00494117"/>
    <w:rsid w:val="004B1D12"/>
    <w:rsid w:val="004F22B1"/>
    <w:rsid w:val="004F290D"/>
    <w:rsid w:val="004F6C27"/>
    <w:rsid w:val="004F75EF"/>
    <w:rsid w:val="0056646D"/>
    <w:rsid w:val="00595A60"/>
    <w:rsid w:val="005B6AC4"/>
    <w:rsid w:val="00692080"/>
    <w:rsid w:val="00693FB9"/>
    <w:rsid w:val="006D12E8"/>
    <w:rsid w:val="00703FC4"/>
    <w:rsid w:val="007527D9"/>
    <w:rsid w:val="0076125A"/>
    <w:rsid w:val="007A2797"/>
    <w:rsid w:val="007B6239"/>
    <w:rsid w:val="007D318A"/>
    <w:rsid w:val="007F1799"/>
    <w:rsid w:val="007F7BB0"/>
    <w:rsid w:val="0082591B"/>
    <w:rsid w:val="00832490"/>
    <w:rsid w:val="00855829"/>
    <w:rsid w:val="008769FC"/>
    <w:rsid w:val="008A119C"/>
    <w:rsid w:val="008D2F2E"/>
    <w:rsid w:val="008D4859"/>
    <w:rsid w:val="00974CE7"/>
    <w:rsid w:val="00982A70"/>
    <w:rsid w:val="00A27814"/>
    <w:rsid w:val="00A419C6"/>
    <w:rsid w:val="00A65DD3"/>
    <w:rsid w:val="00AB393B"/>
    <w:rsid w:val="00B55E97"/>
    <w:rsid w:val="00B83ADA"/>
    <w:rsid w:val="00B9022B"/>
    <w:rsid w:val="00C00307"/>
    <w:rsid w:val="00C27E8E"/>
    <w:rsid w:val="00C30105"/>
    <w:rsid w:val="00C564F6"/>
    <w:rsid w:val="00CC23FE"/>
    <w:rsid w:val="00D51527"/>
    <w:rsid w:val="00D868C7"/>
    <w:rsid w:val="00E20EE7"/>
    <w:rsid w:val="00E86B3B"/>
    <w:rsid w:val="00EA4F10"/>
    <w:rsid w:val="00E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3F77"/>
  <w14:defaultImageDpi w14:val="32767"/>
  <w15:chartTrackingRefBased/>
  <w15:docId w15:val="{1B0A793B-1020-CB4B-B204-FBA6F6B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307"/>
    <w:pPr>
      <w:spacing w:after="120" w:line="280" w:lineRule="atLeast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59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8D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59"/>
    <w:rPr>
      <w:rFonts w:ascii="Corbel" w:hAnsi="Corbel"/>
    </w:rPr>
  </w:style>
  <w:style w:type="character" w:styleId="PageNumber">
    <w:name w:val="page number"/>
    <w:basedOn w:val="DefaultParagraphFont"/>
    <w:uiPriority w:val="99"/>
    <w:semiHidden/>
    <w:unhideWhenUsed/>
    <w:rsid w:val="008D4859"/>
  </w:style>
  <w:style w:type="paragraph" w:styleId="Title">
    <w:name w:val="Title"/>
    <w:basedOn w:val="Normal"/>
    <w:next w:val="Normal"/>
    <w:link w:val="TitleChar"/>
    <w:uiPriority w:val="10"/>
    <w:qFormat/>
    <w:rsid w:val="00A27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7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2781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5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11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1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858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82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7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/D:\Users\APascal\SharePoint\Kantara%20-%20Client%20Documents\Member%20Groups\Leadership%20Council\Form%20Before%20Download_Track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'Charts 2'!$B$1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'Charts 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'Charts 2'!$B$2:$B$13</c:f>
              <c:numCache>
                <c:formatCode>General</c:formatCode>
                <c:ptCount val="12"/>
                <c:pt idx="0">
                  <c:v>3</c:v>
                </c:pt>
                <c:pt idx="1">
                  <c:v>52</c:v>
                </c:pt>
                <c:pt idx="2">
                  <c:v>56</c:v>
                </c:pt>
                <c:pt idx="3">
                  <c:v>69</c:v>
                </c:pt>
                <c:pt idx="4">
                  <c:v>79</c:v>
                </c:pt>
                <c:pt idx="5">
                  <c:v>98</c:v>
                </c:pt>
                <c:pt idx="6">
                  <c:v>80</c:v>
                </c:pt>
                <c:pt idx="7">
                  <c:v>39</c:v>
                </c:pt>
                <c:pt idx="8">
                  <c:v>54</c:v>
                </c:pt>
                <c:pt idx="9">
                  <c:v>88</c:v>
                </c:pt>
                <c:pt idx="10">
                  <c:v>96</c:v>
                </c:pt>
                <c:pt idx="1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4-0045-A6D1-ADFEFEF1B7F0}"/>
            </c:ext>
          </c:extLst>
        </c:ser>
        <c:ser>
          <c:idx val="1"/>
          <c:order val="1"/>
          <c:tx>
            <c:strRef>
              <c:f>'Charts 2'!$C$1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'Charts 2'!$A$2:$A$13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'Charts 2'!$C$2:$C$13</c:f>
              <c:numCache>
                <c:formatCode>General</c:formatCode>
                <c:ptCount val="12"/>
                <c:pt idx="0">
                  <c:v>137</c:v>
                </c:pt>
                <c:pt idx="1">
                  <c:v>199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4-0045-A6D1-ADFEFEF1B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0074032"/>
        <c:axId val="1790081648"/>
      </c:barChart>
      <c:catAx>
        <c:axId val="179007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0081648"/>
        <c:crosses val="autoZero"/>
        <c:auto val="1"/>
        <c:lblAlgn val="ctr"/>
        <c:lblOffset val="100"/>
        <c:noMultiLvlLbl val="0"/>
      </c:catAx>
      <c:valAx>
        <c:axId val="179008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007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Turn Information Management Consulting Corp.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Hughes</dc:creator>
  <cp:keywords/>
  <dc:description/>
  <cp:lastModifiedBy>Andrew Hughes</cp:lastModifiedBy>
  <cp:revision>54</cp:revision>
  <dcterms:created xsi:type="dcterms:W3CDTF">2018-05-12T15:04:00Z</dcterms:created>
  <dcterms:modified xsi:type="dcterms:W3CDTF">2018-05-12T20:09:00Z</dcterms:modified>
</cp:coreProperties>
</file>