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EB4DC" w14:textId="023F8A68" w:rsidR="009A26A9" w:rsidRPr="00600CFD" w:rsidRDefault="00172AC3">
      <w:pPr>
        <w:spacing w:before="80" w:after="80"/>
        <w:rPr>
          <w:rFonts w:cs="Arial"/>
          <w:sz w:val="40"/>
          <w:szCs w:val="40"/>
          <w:lang w:eastAsia="ja-JP"/>
        </w:rPr>
      </w:pPr>
      <w:r w:rsidRPr="00600CFD">
        <w:rPr>
          <w:rFonts w:cs="Arial"/>
          <w:noProof/>
          <w:sz w:val="40"/>
          <w:szCs w:val="40"/>
        </w:rPr>
        <w:drawing>
          <wp:inline distT="0" distB="0" distL="0" distR="0" wp14:anchorId="5A7F7BB4" wp14:editId="6E599EBF">
            <wp:extent cx="256540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914400"/>
                    </a:xfrm>
                    <a:prstGeom prst="rect">
                      <a:avLst/>
                    </a:prstGeom>
                    <a:noFill/>
                    <a:ln>
                      <a:noFill/>
                    </a:ln>
                  </pic:spPr>
                </pic:pic>
              </a:graphicData>
            </a:graphic>
          </wp:inline>
        </w:drawing>
      </w:r>
    </w:p>
    <w:p w14:paraId="18CD3F21" w14:textId="73D897AF" w:rsidR="00600CFD" w:rsidRPr="00EF113E" w:rsidRDefault="00EF113E" w:rsidP="00A3745E">
      <w:pPr>
        <w:pStyle w:val="Title"/>
      </w:pPr>
      <w:bookmarkStart w:id="0" w:name="_Ref49748389"/>
      <w:bookmarkEnd w:id="0"/>
      <w:r w:rsidRPr="00EF113E">
        <w:t xml:space="preserve">Comments on </w:t>
      </w:r>
      <w:r w:rsidRPr="00EF113E">
        <w:rPr>
          <w:szCs w:val="22"/>
        </w:rPr>
        <w:t>Federal Health IT Strategic Plan</w:t>
      </w:r>
    </w:p>
    <w:p w14:paraId="69F5D590" w14:textId="77777777" w:rsidR="00EF113E" w:rsidRPr="00EF113E" w:rsidRDefault="00EF113E" w:rsidP="00EF113E">
      <w:pPr>
        <w:rPr>
          <w:lang w:eastAsia="ja-JP"/>
        </w:rPr>
      </w:pPr>
    </w:p>
    <w:p w14:paraId="5D2CA3BC" w14:textId="6D144A92" w:rsidR="0061421F" w:rsidRDefault="00EF113E" w:rsidP="0061421F">
      <w:pPr>
        <w:rPr>
          <w:b/>
        </w:rPr>
      </w:pPr>
      <w:r>
        <w:rPr>
          <w:b/>
        </w:rPr>
        <w:t>To:</w:t>
      </w:r>
      <w:r>
        <w:rPr>
          <w:b/>
        </w:rPr>
        <w:tab/>
      </w:r>
      <w:r>
        <w:rPr>
          <w:b/>
        </w:rPr>
        <w:tab/>
      </w:r>
      <w:r>
        <w:rPr>
          <w:b/>
        </w:rPr>
        <w:tab/>
      </w:r>
      <w:r w:rsidR="0061421F" w:rsidRPr="0061421F">
        <w:rPr>
          <w:b/>
        </w:rPr>
        <w:t>Dr</w:t>
      </w:r>
      <w:r w:rsidR="006E2A6C">
        <w:rPr>
          <w:b/>
        </w:rPr>
        <w:t>.</w:t>
      </w:r>
      <w:r w:rsidR="0061421F" w:rsidRPr="0061421F">
        <w:rPr>
          <w:b/>
        </w:rPr>
        <w:t xml:space="preserve"> Don Rucker</w:t>
      </w:r>
      <w:r w:rsidR="0061421F">
        <w:rPr>
          <w:b/>
        </w:rPr>
        <w:t>,</w:t>
      </w:r>
      <w:r w:rsidR="0061421F" w:rsidRPr="0061421F">
        <w:rPr>
          <w:b/>
        </w:rPr>
        <w:t xml:space="preserve"> Office of the National Coordinator</w:t>
      </w:r>
    </w:p>
    <w:p w14:paraId="13836E51" w14:textId="2AA18C04" w:rsidR="002F5CFC" w:rsidRDefault="00913FCA" w:rsidP="008D3B98">
      <w:r>
        <w:rPr>
          <w:b/>
        </w:rPr>
        <w:t>Date:</w:t>
      </w:r>
      <w:r>
        <w:rPr>
          <w:b/>
        </w:rPr>
        <w:tab/>
      </w:r>
      <w:r w:rsidR="00097239" w:rsidRPr="00600CFD">
        <w:rPr>
          <w:b/>
        </w:rPr>
        <w:tab/>
      </w:r>
      <w:bookmarkStart w:id="1" w:name="_Toc243379784"/>
      <w:r w:rsidR="00EF113E">
        <w:rPr>
          <w:b/>
        </w:rPr>
        <w:tab/>
      </w:r>
      <w:r w:rsidR="00586858">
        <w:t>2020</w:t>
      </w:r>
      <w:r w:rsidR="00DA13CA">
        <w:t>-</w:t>
      </w:r>
      <w:r w:rsidR="008D3279">
        <w:t>02-04</w:t>
      </w:r>
    </w:p>
    <w:p w14:paraId="29D2B726" w14:textId="7A2AEDB3" w:rsidR="00C00DBF" w:rsidRDefault="006E2A6C" w:rsidP="002F5CFC">
      <w:pPr>
        <w:pStyle w:val="BodyText"/>
        <w:spacing w:after="60" w:line="360" w:lineRule="auto"/>
        <w:rPr>
          <w:rFonts w:cs="Arial"/>
        </w:rPr>
      </w:pPr>
      <w:bookmarkStart w:id="2" w:name="_Toc116532192"/>
      <w:bookmarkStart w:id="3" w:name="_Toc116535122"/>
      <w:bookmarkStart w:id="4" w:name="_Toc243379786"/>
      <w:bookmarkStart w:id="5" w:name="_Toc244482061"/>
      <w:bookmarkEnd w:id="1"/>
      <w:r>
        <w:rPr>
          <w:rFonts w:cs="Arial"/>
          <w:b/>
        </w:rPr>
        <w:t xml:space="preserve">From </w:t>
      </w:r>
      <w:r w:rsidR="00C00DBF" w:rsidRPr="00F11B5E">
        <w:rPr>
          <w:rFonts w:cs="Arial"/>
          <w:b/>
        </w:rPr>
        <w:t>Kantara Working Group</w:t>
      </w:r>
      <w:r w:rsidR="00F11B5E" w:rsidRPr="00F11B5E">
        <w:rPr>
          <w:rFonts w:cs="Arial"/>
          <w:b/>
        </w:rPr>
        <w:t>s</w:t>
      </w:r>
      <w:r w:rsidR="00EF113E">
        <w:rPr>
          <w:rFonts w:cs="Arial"/>
        </w:rPr>
        <w:t>:</w:t>
      </w:r>
    </w:p>
    <w:p w14:paraId="6B8BDAB1" w14:textId="06155BF2" w:rsidR="00F11B5E" w:rsidRDefault="00F11B5E" w:rsidP="00EF7788">
      <w:pPr>
        <w:pStyle w:val="NoSpacing"/>
        <w:numPr>
          <w:ilvl w:val="0"/>
          <w:numId w:val="8"/>
        </w:numPr>
      </w:pPr>
      <w:r>
        <w:t>Health Identity Assurance – Chair Thomas Sullivan M. D.</w:t>
      </w:r>
    </w:p>
    <w:p w14:paraId="24B4740D" w14:textId="41916087" w:rsidR="00C044F3" w:rsidRPr="00EF113E" w:rsidRDefault="00F11B5E" w:rsidP="00EF7788">
      <w:pPr>
        <w:pStyle w:val="NoSpacing"/>
        <w:numPr>
          <w:ilvl w:val="0"/>
          <w:numId w:val="8"/>
        </w:numPr>
        <w:rPr>
          <w:rStyle w:val="Strong"/>
          <w:b w:val="0"/>
          <w:bCs w:val="0"/>
          <w:sz w:val="22"/>
        </w:rPr>
      </w:pPr>
      <w:r>
        <w:t xml:space="preserve">Federated Identifiers – Chair Jim </w:t>
      </w:r>
      <w:proofErr w:type="spellStart"/>
      <w:r>
        <w:t>Kragh</w:t>
      </w:r>
      <w:bookmarkEnd w:id="2"/>
      <w:bookmarkEnd w:id="3"/>
      <w:bookmarkEnd w:id="4"/>
      <w:bookmarkEnd w:id="5"/>
      <w:proofErr w:type="spellEnd"/>
    </w:p>
    <w:p w14:paraId="7A147095" w14:textId="77777777" w:rsidR="00463C58" w:rsidRDefault="00463C58" w:rsidP="00463C58">
      <w:pPr>
        <w:rPr>
          <w:noProof/>
        </w:rPr>
      </w:pPr>
      <w:r>
        <w:rPr>
          <w:noProof/>
        </w:rPr>
        <w:t>This submission supports the immediate release of the Interoperability and Patient Access rules of the 21</w:t>
      </w:r>
      <w:r>
        <w:rPr>
          <w:noProof/>
          <w:vertAlign w:val="superscript"/>
        </w:rPr>
        <w:t>st</w:t>
      </w:r>
      <w:r>
        <w:rPr>
          <w:noProof/>
        </w:rPr>
        <w:t xml:space="preserve"> Century Cures Act that dates back to 1994 when Dr Bill Braithwaite initiated the path to HIPAA and worked with HHS in promoting keep this text. In 2015 HIMSS formed the Identity Management Task Force that Dr Braithwaite chaired (the signatories to this submission were active contributors) underscoring the importance of having a trusted digital identity and patient data portability. As a personal friend and collogue of the signatories,  Dr Bill, knowing  his patient centric values,  was contacted and he shared the following:</w:t>
      </w:r>
    </w:p>
    <w:p w14:paraId="7D2FFD20" w14:textId="77777777" w:rsidR="00463C58" w:rsidRDefault="00463C58" w:rsidP="00463C58">
      <w:pPr>
        <w:spacing w:before="0" w:after="0"/>
        <w:ind w:left="720"/>
        <w:rPr>
          <w:noProof/>
          <w:kern w:val="24"/>
          <w:szCs w:val="20"/>
        </w:rPr>
      </w:pPr>
      <w:r>
        <w:rPr>
          <w:noProof/>
        </w:rPr>
        <w:t>The federal government establish standards for the private and secure exchange of electronic health information in 1994 with the creation of the Administrative Simplification Subtitle which passed into law as part of HIPAA in 1996.  This effort has evolved through issuance of federal regulations to the implementation of HIPAA and subsequent laws that were passed to stiffen requirements and penalties that the US Congress perceived appropriate for our industry. EHR vendors resisted any attempt to implement a standardized information exchange.  Each institution implemented proprietary, partial solutions that restricted and blocked the efficient implementation of a private and secure health information highway that all could access. Ms. Faulkner’s position is like other vendors who belive they have solved the prolems.</w:t>
      </w:r>
      <w:r>
        <w:rPr>
          <w:noProof/>
          <w:kern w:val="24"/>
          <w:szCs w:val="20"/>
        </w:rPr>
        <w:t xml:space="preserve"> However, interoperability only works if everyone buys and implements exactly the same software suite from a single vendor. But the vendor systems are NOT the same, hence not interoperable because each system is implemented in a different way with different access protocols with no standardized process for capturing and sharing clinical data and PHI. Hence, vendors capture and store PHI in their system silos for monetization.</w:t>
      </w:r>
    </w:p>
    <w:p w14:paraId="350EB308" w14:textId="77777777" w:rsidR="00463C58" w:rsidRDefault="00463C58" w:rsidP="00463C58">
      <w:pPr>
        <w:spacing w:before="0" w:after="0"/>
        <w:rPr>
          <w:noProof/>
          <w:kern w:val="24"/>
          <w:szCs w:val="20"/>
        </w:rPr>
      </w:pPr>
    </w:p>
    <w:p w14:paraId="0FF6FDDF" w14:textId="6A97D89C" w:rsidR="00463C58" w:rsidRDefault="00463C58" w:rsidP="00463C58">
      <w:pPr>
        <w:spacing w:before="0" w:after="0"/>
        <w:rPr>
          <w:noProof/>
          <w:kern w:val="24"/>
          <w:szCs w:val="20"/>
        </w:rPr>
      </w:pPr>
      <w:r>
        <w:rPr>
          <w:b/>
          <w:noProof/>
          <w:kern w:val="24"/>
          <w:szCs w:val="20"/>
        </w:rPr>
        <w:t>The balance of this submission addresses issues for inclusion in the 2020-2025 iteration of  the Federal Health IT Strategic Plan</w:t>
      </w:r>
      <w:r w:rsidR="008D3279">
        <w:rPr>
          <w:b/>
          <w:noProof/>
          <w:kern w:val="24"/>
          <w:szCs w:val="20"/>
        </w:rPr>
        <w:t xml:space="preserve"> which we fully support.</w:t>
      </w:r>
    </w:p>
    <w:p w14:paraId="33264C8F" w14:textId="77777777" w:rsidR="00C044F3" w:rsidRDefault="00C044F3" w:rsidP="00C044F3">
      <w:pPr>
        <w:spacing w:before="0" w:after="0"/>
        <w:rPr>
          <w:noProof/>
          <w:kern w:val="24"/>
          <w:szCs w:val="20"/>
        </w:rPr>
      </w:pPr>
    </w:p>
    <w:p w14:paraId="7EA1F9D6" w14:textId="77777777" w:rsidR="00C044F3" w:rsidRDefault="00C044F3" w:rsidP="00C044F3">
      <w:pPr>
        <w:spacing w:before="0" w:after="0"/>
        <w:rPr>
          <w:noProof/>
          <w:kern w:val="24"/>
          <w:szCs w:val="20"/>
        </w:rPr>
      </w:pPr>
    </w:p>
    <w:p w14:paraId="7CF79D8F" w14:textId="710C26E4" w:rsidR="00C044F3" w:rsidRPr="00553B25" w:rsidRDefault="00553B25" w:rsidP="00C044F3">
      <w:pPr>
        <w:spacing w:before="0" w:after="0"/>
        <w:rPr>
          <w:rFonts w:ascii="Lucida Handwriting" w:hAnsi="Lucida Handwriting"/>
          <w:noProof/>
          <w:kern w:val="24"/>
          <w:sz w:val="28"/>
          <w:szCs w:val="28"/>
        </w:rPr>
      </w:pPr>
      <w:r w:rsidRPr="00553B25">
        <w:rPr>
          <w:rFonts w:ascii="Lucida Handwriting" w:hAnsi="Lucida Handwriting"/>
          <w:noProof/>
          <w:kern w:val="24"/>
          <w:sz w:val="28"/>
          <w:szCs w:val="28"/>
        </w:rPr>
        <w:t>Thomas Sullivan</w:t>
      </w:r>
      <w:r w:rsidRPr="00553B25">
        <w:rPr>
          <w:rFonts w:ascii="Lucida Handwriting" w:hAnsi="Lucida Handwriting"/>
          <w:noProof/>
          <w:kern w:val="24"/>
          <w:sz w:val="28"/>
          <w:szCs w:val="28"/>
        </w:rPr>
        <w:tab/>
      </w:r>
      <w:r w:rsidRPr="00553B25">
        <w:rPr>
          <w:rFonts w:ascii="Lucida Handwriting" w:hAnsi="Lucida Handwriting"/>
          <w:noProof/>
          <w:kern w:val="24"/>
          <w:sz w:val="28"/>
          <w:szCs w:val="28"/>
        </w:rPr>
        <w:tab/>
      </w:r>
      <w:r>
        <w:rPr>
          <w:rFonts w:ascii="Lucida Handwriting" w:hAnsi="Lucida Handwriting"/>
          <w:noProof/>
          <w:kern w:val="24"/>
          <w:sz w:val="28"/>
          <w:szCs w:val="28"/>
        </w:rPr>
        <w:tab/>
      </w:r>
      <w:r w:rsidRPr="00553B25">
        <w:rPr>
          <w:rFonts w:ascii="Lucida Handwriting" w:hAnsi="Lucida Handwriting"/>
          <w:noProof/>
          <w:kern w:val="24"/>
          <w:sz w:val="28"/>
          <w:szCs w:val="28"/>
        </w:rPr>
        <w:t>Jim Kragh</w:t>
      </w:r>
    </w:p>
    <w:p w14:paraId="0130F616" w14:textId="77777777" w:rsidR="00EF113E" w:rsidRDefault="00EF113E" w:rsidP="00C044F3">
      <w:pPr>
        <w:spacing w:before="0" w:after="0"/>
        <w:rPr>
          <w:noProof/>
          <w:kern w:val="24"/>
          <w:szCs w:val="20"/>
        </w:rPr>
      </w:pPr>
    </w:p>
    <w:p w14:paraId="6465B1BC" w14:textId="77777777" w:rsidR="00C044F3" w:rsidRDefault="00C044F3" w:rsidP="00C044F3">
      <w:pPr>
        <w:spacing w:before="0" w:after="0"/>
        <w:rPr>
          <w:noProof/>
          <w:kern w:val="24"/>
          <w:szCs w:val="20"/>
        </w:rPr>
      </w:pPr>
    </w:p>
    <w:p w14:paraId="09B3206A" w14:textId="208E3B0B" w:rsidR="00C044F3" w:rsidRPr="00C044F3" w:rsidRDefault="00553B25" w:rsidP="00C044F3">
      <w:pPr>
        <w:spacing w:before="0" w:after="0"/>
        <w:rPr>
          <w:noProof/>
          <w:kern w:val="24"/>
          <w:sz w:val="20"/>
          <w:szCs w:val="20"/>
        </w:rPr>
      </w:pPr>
      <w:r>
        <w:rPr>
          <w:noProof/>
          <w:kern w:val="24"/>
          <w:sz w:val="20"/>
          <w:szCs w:val="20"/>
        </w:rPr>
        <w:t>Thomas</w:t>
      </w:r>
      <w:r w:rsidR="00C044F3" w:rsidRPr="00C044F3">
        <w:rPr>
          <w:noProof/>
          <w:kern w:val="24"/>
          <w:sz w:val="20"/>
          <w:szCs w:val="20"/>
        </w:rPr>
        <w:t xml:space="preserve"> Sullivan</w:t>
      </w:r>
      <w:r w:rsidR="00C044F3">
        <w:rPr>
          <w:noProof/>
          <w:kern w:val="24"/>
          <w:sz w:val="20"/>
          <w:szCs w:val="20"/>
        </w:rPr>
        <w:t xml:space="preserve"> M. D.</w:t>
      </w:r>
      <w:r w:rsidR="00C044F3" w:rsidRPr="00C044F3">
        <w:rPr>
          <w:noProof/>
          <w:kern w:val="24"/>
          <w:sz w:val="20"/>
          <w:szCs w:val="20"/>
        </w:rPr>
        <w:t xml:space="preserve">, Chair </w:t>
      </w:r>
      <w:r w:rsidR="00C044F3" w:rsidRPr="00C044F3">
        <w:rPr>
          <w:noProof/>
          <w:kern w:val="24"/>
          <w:sz w:val="20"/>
          <w:szCs w:val="20"/>
        </w:rPr>
        <w:tab/>
      </w:r>
      <w:r w:rsidR="00C044F3" w:rsidRPr="00C044F3">
        <w:rPr>
          <w:noProof/>
          <w:kern w:val="24"/>
          <w:sz w:val="20"/>
          <w:szCs w:val="20"/>
        </w:rPr>
        <w:tab/>
      </w:r>
      <w:r w:rsidR="00C044F3" w:rsidRPr="00C044F3">
        <w:rPr>
          <w:noProof/>
          <w:kern w:val="24"/>
          <w:sz w:val="20"/>
          <w:szCs w:val="20"/>
        </w:rPr>
        <w:tab/>
        <w:t>Jim Kragh, Chair</w:t>
      </w:r>
    </w:p>
    <w:p w14:paraId="676B8DAF" w14:textId="1175FDD3" w:rsidR="00464D30" w:rsidRPr="00166BFD" w:rsidRDefault="00C044F3" w:rsidP="00463C58">
      <w:pPr>
        <w:spacing w:before="0" w:after="0"/>
        <w:rPr>
          <w:noProof/>
          <w:kern w:val="24"/>
          <w:szCs w:val="20"/>
        </w:rPr>
      </w:pPr>
      <w:r w:rsidRPr="00C044F3">
        <w:rPr>
          <w:noProof/>
          <w:kern w:val="24"/>
          <w:sz w:val="20"/>
          <w:szCs w:val="20"/>
        </w:rPr>
        <w:t xml:space="preserve">Healthcare Identity Assurance Work Group </w:t>
      </w:r>
      <w:r w:rsidRPr="00C044F3">
        <w:rPr>
          <w:noProof/>
          <w:kern w:val="24"/>
          <w:sz w:val="20"/>
          <w:szCs w:val="20"/>
        </w:rPr>
        <w:tab/>
        <w:t>Federated Identifiers Work Group</w:t>
      </w:r>
    </w:p>
    <w:p w14:paraId="5CC97A8D" w14:textId="6A07B6C8" w:rsidR="00464D30" w:rsidRPr="00464D30" w:rsidRDefault="00897D3D" w:rsidP="00897D3D">
      <w:pPr>
        <w:pStyle w:val="Heading1"/>
      </w:pPr>
      <w:r>
        <w:lastRenderedPageBreak/>
        <w:t>Comments</w:t>
      </w:r>
    </w:p>
    <w:p w14:paraId="5221265C" w14:textId="13478309" w:rsidR="00464D30" w:rsidRDefault="00464D30" w:rsidP="008A6D12">
      <w:pPr>
        <w:pStyle w:val="BodyText"/>
        <w:spacing w:after="60" w:line="360" w:lineRule="auto"/>
        <w:rPr>
          <w:rFonts w:cs="Arial"/>
          <w:b/>
          <w:szCs w:val="22"/>
        </w:rPr>
      </w:pPr>
      <w:r>
        <w:rPr>
          <w:rFonts w:cs="Arial"/>
          <w:b/>
          <w:szCs w:val="22"/>
        </w:rPr>
        <w:t>Comments</w:t>
      </w:r>
      <w:r w:rsidR="00F36D2F">
        <w:rPr>
          <w:rFonts w:cs="Arial"/>
          <w:b/>
          <w:szCs w:val="22"/>
        </w:rPr>
        <w:t xml:space="preserve"> to the</w:t>
      </w:r>
      <w:r w:rsidR="008A6D12">
        <w:rPr>
          <w:rFonts w:cs="Arial"/>
          <w:b/>
          <w:szCs w:val="22"/>
        </w:rPr>
        <w:t xml:space="preserve"> </w:t>
      </w:r>
      <w:r w:rsidR="00E86AC3">
        <w:rPr>
          <w:rFonts w:cs="Arial"/>
          <w:b/>
          <w:szCs w:val="22"/>
        </w:rPr>
        <w:t>2020</w:t>
      </w:r>
      <w:r w:rsidR="000C441F">
        <w:rPr>
          <w:rFonts w:cs="Arial"/>
          <w:b/>
          <w:szCs w:val="22"/>
        </w:rPr>
        <w:t>-2025 Federal Health IT Strategic Plan</w:t>
      </w:r>
      <w:r w:rsidR="00F36D2F">
        <w:rPr>
          <w:rFonts w:cs="Arial"/>
          <w:b/>
          <w:szCs w:val="22"/>
        </w:rPr>
        <w:t xml:space="preserve"> to address the issues</w:t>
      </w:r>
      <w:r w:rsidRPr="0077597F">
        <w:rPr>
          <w:rFonts w:cs="Arial"/>
          <w:b/>
          <w:szCs w:val="22"/>
        </w:rPr>
        <w:t>:</w:t>
      </w:r>
    </w:p>
    <w:p w14:paraId="4AF11C3B" w14:textId="4C9E896D" w:rsidR="009C637F" w:rsidRPr="008A6D12" w:rsidRDefault="009C637F" w:rsidP="008A6D12">
      <w:pPr>
        <w:pStyle w:val="BodyText"/>
        <w:spacing w:after="60" w:line="360" w:lineRule="auto"/>
        <w:rPr>
          <w:rFonts w:cs="Arial"/>
          <w:b/>
          <w:szCs w:val="22"/>
        </w:rPr>
      </w:pPr>
      <w:r>
        <w:rPr>
          <w:rFonts w:cs="Arial"/>
          <w:b/>
          <w:szCs w:val="22"/>
        </w:rPr>
        <w:t xml:space="preserve">These comment are also submitted to the </w:t>
      </w:r>
      <w:hyperlink r:id="rId9" w:history="1">
        <w:r w:rsidRPr="009C637F">
          <w:rPr>
            <w:rStyle w:val="Hyperlink"/>
            <w:rFonts w:cs="Arial"/>
            <w:b/>
            <w:szCs w:val="22"/>
          </w:rPr>
          <w:t>website</w:t>
        </w:r>
      </w:hyperlink>
      <w:r>
        <w:rPr>
          <w:rFonts w:cs="Arial"/>
          <w:b/>
          <w:szCs w:val="22"/>
        </w:rPr>
        <w:t>.</w:t>
      </w:r>
    </w:p>
    <w:p w14:paraId="54ACFBEF" w14:textId="1A516D16" w:rsidR="008A6D12" w:rsidRPr="000C441F" w:rsidRDefault="008A6D12" w:rsidP="00EF7788">
      <w:pPr>
        <w:pStyle w:val="ListParagraph"/>
        <w:numPr>
          <w:ilvl w:val="0"/>
          <w:numId w:val="18"/>
        </w:numPr>
        <w:rPr>
          <w:noProof/>
          <w:kern w:val="24"/>
          <w:szCs w:val="20"/>
        </w:rPr>
      </w:pPr>
      <w:r>
        <w:t>Privacy risks are increased by interoperability: Solu</w:t>
      </w:r>
      <w:r w:rsidR="000C441F">
        <w:t>tion: Ensure that all sof</w:t>
      </w:r>
      <w:r w:rsidR="00F36D2F">
        <w:t>tware whether in the cloud or in the patient’s smartphone is known to accept responsibility for patient choice and privacy protection.</w:t>
      </w:r>
    </w:p>
    <w:p w14:paraId="5D8CE7EC" w14:textId="5917B6E6" w:rsidR="00166BFD" w:rsidRPr="000C441F" w:rsidRDefault="00166BFD" w:rsidP="00EF7788">
      <w:pPr>
        <w:pStyle w:val="ListParagraph"/>
        <w:numPr>
          <w:ilvl w:val="0"/>
          <w:numId w:val="18"/>
        </w:numPr>
        <w:rPr>
          <w:noProof/>
          <w:kern w:val="24"/>
          <w:szCs w:val="20"/>
        </w:rPr>
      </w:pPr>
      <w:r w:rsidRPr="000C441F">
        <w:rPr>
          <w:noProof/>
          <w:kern w:val="24"/>
          <w:szCs w:val="20"/>
        </w:rPr>
        <w:t>Patient Privacy can only be protected if all computer hardware and software is known to be secure.</w:t>
      </w:r>
      <w:r w:rsidR="008A6D12" w:rsidRPr="000C441F">
        <w:rPr>
          <w:noProof/>
          <w:kern w:val="24"/>
          <w:szCs w:val="20"/>
        </w:rPr>
        <w:t xml:space="preserve"> </w:t>
      </w:r>
      <w:r w:rsidRPr="000C441F">
        <w:rPr>
          <w:noProof/>
          <w:kern w:val="24"/>
          <w:szCs w:val="20"/>
        </w:rPr>
        <w:t>So</w:t>
      </w:r>
      <w:r w:rsidR="00897D3D">
        <w:rPr>
          <w:noProof/>
          <w:kern w:val="24"/>
          <w:szCs w:val="20"/>
        </w:rPr>
        <w:t>lution:</w:t>
      </w:r>
      <w:r w:rsidRPr="000C441F">
        <w:rPr>
          <w:noProof/>
          <w:kern w:val="24"/>
          <w:szCs w:val="20"/>
        </w:rPr>
        <w:t xml:space="preserve"> some means to assuring the patient</w:t>
      </w:r>
      <w:r w:rsidR="000C441F" w:rsidRPr="000C441F">
        <w:rPr>
          <w:noProof/>
          <w:kern w:val="24"/>
          <w:szCs w:val="20"/>
        </w:rPr>
        <w:t>’</w:t>
      </w:r>
      <w:r w:rsidRPr="000C441F">
        <w:rPr>
          <w:noProof/>
          <w:kern w:val="24"/>
          <w:szCs w:val="20"/>
        </w:rPr>
        <w:t>s device and app must exist alongside the existing controls</w:t>
      </w:r>
      <w:r w:rsidR="008A6D12" w:rsidRPr="000C441F">
        <w:rPr>
          <w:noProof/>
          <w:kern w:val="24"/>
          <w:szCs w:val="20"/>
        </w:rPr>
        <w:t xml:space="preserve"> </w:t>
      </w:r>
      <w:r w:rsidRPr="000C441F">
        <w:rPr>
          <w:noProof/>
          <w:kern w:val="24"/>
          <w:szCs w:val="20"/>
        </w:rPr>
        <w:t>for the web site security.</w:t>
      </w:r>
    </w:p>
    <w:p w14:paraId="096AD921" w14:textId="480DEBB1" w:rsidR="00166BFD" w:rsidRPr="00897D3D" w:rsidRDefault="00166BFD" w:rsidP="00EF7788">
      <w:pPr>
        <w:pStyle w:val="ListParagraph"/>
        <w:numPr>
          <w:ilvl w:val="0"/>
          <w:numId w:val="18"/>
        </w:numPr>
        <w:rPr>
          <w:noProof/>
          <w:kern w:val="24"/>
          <w:szCs w:val="20"/>
        </w:rPr>
      </w:pPr>
      <w:r w:rsidRPr="000C441F">
        <w:rPr>
          <w:noProof/>
          <w:kern w:val="24"/>
          <w:szCs w:val="20"/>
        </w:rPr>
        <w:t>All patients must be able to know that the web sites they visit are fully compliant with HIPAA</w:t>
      </w:r>
      <w:r w:rsidR="00897D3D">
        <w:rPr>
          <w:noProof/>
          <w:kern w:val="24"/>
          <w:szCs w:val="20"/>
        </w:rPr>
        <w:t xml:space="preserve"> </w:t>
      </w:r>
      <w:r w:rsidRPr="00897D3D">
        <w:rPr>
          <w:noProof/>
          <w:kern w:val="24"/>
          <w:szCs w:val="20"/>
        </w:rPr>
        <w:t>requirements without cost before they share sensitive data. So</w:t>
      </w:r>
      <w:r w:rsidR="00897D3D">
        <w:rPr>
          <w:noProof/>
          <w:kern w:val="24"/>
          <w:szCs w:val="20"/>
        </w:rPr>
        <w:t>lution:</w:t>
      </w:r>
      <w:r w:rsidRPr="00897D3D">
        <w:rPr>
          <w:noProof/>
          <w:kern w:val="24"/>
          <w:szCs w:val="20"/>
        </w:rPr>
        <w:t xml:space="preserve"> a trust registry accessible by user</w:t>
      </w:r>
      <w:r w:rsidR="008A6D12" w:rsidRPr="00897D3D">
        <w:rPr>
          <w:noProof/>
          <w:kern w:val="24"/>
          <w:szCs w:val="20"/>
        </w:rPr>
        <w:t xml:space="preserve"> </w:t>
      </w:r>
      <w:r w:rsidRPr="00897D3D">
        <w:rPr>
          <w:noProof/>
          <w:kern w:val="24"/>
          <w:szCs w:val="20"/>
        </w:rPr>
        <w:t>apps must be freely available on the web.</w:t>
      </w:r>
    </w:p>
    <w:p w14:paraId="3DE2701C" w14:textId="70D9A112" w:rsidR="00166BFD" w:rsidRDefault="00166BFD" w:rsidP="00EF7788">
      <w:pPr>
        <w:pStyle w:val="ListParagraph"/>
        <w:numPr>
          <w:ilvl w:val="0"/>
          <w:numId w:val="18"/>
        </w:numPr>
        <w:rPr>
          <w:noProof/>
          <w:kern w:val="24"/>
          <w:szCs w:val="20"/>
        </w:rPr>
      </w:pPr>
      <w:r w:rsidRPr="000C441F">
        <w:rPr>
          <w:noProof/>
          <w:kern w:val="24"/>
          <w:szCs w:val="20"/>
        </w:rPr>
        <w:t>Patients must be able to know what data they are asking one EHR to share with other providers. So</w:t>
      </w:r>
      <w:r w:rsidR="00897D3D">
        <w:rPr>
          <w:noProof/>
          <w:kern w:val="24"/>
          <w:szCs w:val="20"/>
        </w:rPr>
        <w:t>lution</w:t>
      </w:r>
      <w:r w:rsidR="008A6D12" w:rsidRPr="000C441F">
        <w:rPr>
          <w:noProof/>
          <w:kern w:val="24"/>
          <w:szCs w:val="20"/>
        </w:rPr>
        <w:t xml:space="preserve"> </w:t>
      </w:r>
      <w:r w:rsidRPr="000C441F">
        <w:rPr>
          <w:noProof/>
          <w:kern w:val="24"/>
          <w:szCs w:val="20"/>
        </w:rPr>
        <w:t xml:space="preserve">a common taxonomy of </w:t>
      </w:r>
      <w:r w:rsidR="00897D3D">
        <w:rPr>
          <w:noProof/>
          <w:kern w:val="24"/>
          <w:szCs w:val="20"/>
        </w:rPr>
        <w:t xml:space="preserve">mediacal </w:t>
      </w:r>
      <w:r w:rsidRPr="000C441F">
        <w:rPr>
          <w:noProof/>
          <w:kern w:val="24"/>
          <w:szCs w:val="20"/>
        </w:rPr>
        <w:t>data categories for user consent is required.</w:t>
      </w:r>
      <w:r w:rsidR="00897D3D">
        <w:rPr>
          <w:noProof/>
          <w:kern w:val="24"/>
          <w:szCs w:val="20"/>
        </w:rPr>
        <w:t xml:space="preserve"> The list must be short and understood by 90% of patients.</w:t>
      </w:r>
    </w:p>
    <w:p w14:paraId="4467BB26" w14:textId="3C3977FC" w:rsidR="00F36D2F" w:rsidRPr="00EF113E" w:rsidRDefault="00F36D2F" w:rsidP="00EF7788">
      <w:pPr>
        <w:pStyle w:val="ListParagraph"/>
        <w:numPr>
          <w:ilvl w:val="0"/>
          <w:numId w:val="18"/>
        </w:numPr>
        <w:rPr>
          <w:noProof/>
          <w:kern w:val="24"/>
          <w:szCs w:val="20"/>
        </w:rPr>
      </w:pPr>
      <w:r w:rsidRPr="00EF113E">
        <w:rPr>
          <w:noProof/>
          <w:kern w:val="24"/>
          <w:szCs w:val="20"/>
        </w:rPr>
        <w:t>Patients can download and share their health information</w:t>
      </w:r>
      <w:r w:rsidR="00B17F18">
        <w:rPr>
          <w:noProof/>
          <w:kern w:val="24"/>
          <w:szCs w:val="20"/>
        </w:rPr>
        <w:t>. Soluiton: Smartphone</w:t>
      </w:r>
      <w:r>
        <w:rPr>
          <w:noProof/>
          <w:kern w:val="24"/>
          <w:szCs w:val="20"/>
        </w:rPr>
        <w:t xml:space="preserve"> </w:t>
      </w:r>
      <w:r w:rsidR="00B17F18">
        <w:rPr>
          <w:noProof/>
          <w:kern w:val="24"/>
          <w:szCs w:val="20"/>
        </w:rPr>
        <w:t>apps are assessed and entered into a US healthcare assurance registery that is shared with existing EHR web sites.</w:t>
      </w:r>
    </w:p>
    <w:p w14:paraId="70EEE6C9" w14:textId="7437C88A" w:rsidR="000C441F" w:rsidRPr="000C441F" w:rsidRDefault="00262C55" w:rsidP="00EF7788">
      <w:pPr>
        <w:pStyle w:val="ListParagraph"/>
        <w:numPr>
          <w:ilvl w:val="0"/>
          <w:numId w:val="18"/>
        </w:numPr>
        <w:rPr>
          <w:noProof/>
          <w:kern w:val="24"/>
          <w:szCs w:val="20"/>
        </w:rPr>
      </w:pPr>
      <w:r>
        <w:rPr>
          <w:noProof/>
          <w:kern w:val="24"/>
          <w:szCs w:val="20"/>
        </w:rPr>
        <w:t xml:space="preserve">Vendors selling smart phone apps have a very poor record of protecting user data (see section on patient choice below) </w:t>
      </w:r>
      <w:r w:rsidR="000C441F">
        <w:rPr>
          <w:noProof/>
          <w:kern w:val="24"/>
          <w:szCs w:val="20"/>
        </w:rPr>
        <w:t xml:space="preserve">Solution: </w:t>
      </w:r>
      <w:hyperlink r:id="rId10" w:history="1">
        <w:r w:rsidR="000C441F" w:rsidRPr="000C441F">
          <w:rPr>
            <w:rStyle w:val="Hyperlink"/>
            <w:noProof/>
            <w:kern w:val="24"/>
            <w:szCs w:val="20"/>
          </w:rPr>
          <w:t>Kantara Initiative First to Market with NIST SP 800-63-3 Third Party Assessment, Approval and Trust Mark</w:t>
        </w:r>
      </w:hyperlink>
      <w:r>
        <w:rPr>
          <w:noProof/>
          <w:kern w:val="24"/>
          <w:szCs w:val="20"/>
        </w:rPr>
        <w:t xml:space="preserve"> can serve as a paradigm for a US Healthcare program to assess smartphone apps to protect user privacy.</w:t>
      </w:r>
    </w:p>
    <w:p w14:paraId="7F55E3A2" w14:textId="77777777" w:rsidR="00A606DC" w:rsidRPr="000C441F" w:rsidRDefault="00A606DC" w:rsidP="00A606DC">
      <w:pPr>
        <w:pStyle w:val="ListParagraph"/>
        <w:numPr>
          <w:ilvl w:val="0"/>
          <w:numId w:val="18"/>
        </w:numPr>
        <w:rPr>
          <w:noProof/>
          <w:kern w:val="24"/>
          <w:szCs w:val="20"/>
        </w:rPr>
      </w:pPr>
      <w:r>
        <w:rPr>
          <w:noProof/>
          <w:kern w:val="24"/>
          <w:szCs w:val="20"/>
        </w:rPr>
        <w:t xml:space="preserve">An EHR </w:t>
      </w:r>
      <w:r w:rsidRPr="000C441F">
        <w:rPr>
          <w:noProof/>
          <w:kern w:val="24"/>
          <w:szCs w:val="20"/>
        </w:rPr>
        <w:t>platform is interoperable within th</w:t>
      </w:r>
      <w:r>
        <w:rPr>
          <w:noProof/>
          <w:kern w:val="24"/>
          <w:szCs w:val="20"/>
        </w:rPr>
        <w:t>at</w:t>
      </w:r>
      <w:r w:rsidRPr="000C441F">
        <w:rPr>
          <w:noProof/>
          <w:kern w:val="24"/>
          <w:szCs w:val="20"/>
        </w:rPr>
        <w:t xml:space="preserve"> vendors</w:t>
      </w:r>
      <w:r>
        <w:rPr>
          <w:noProof/>
          <w:kern w:val="24"/>
          <w:szCs w:val="20"/>
        </w:rPr>
        <w:t>’</w:t>
      </w:r>
      <w:r w:rsidRPr="000C441F">
        <w:rPr>
          <w:noProof/>
          <w:kern w:val="24"/>
          <w:szCs w:val="20"/>
        </w:rPr>
        <w:t xml:space="preserve"> health systems’ enterprise</w:t>
      </w:r>
      <w:r>
        <w:rPr>
          <w:noProof/>
          <w:kern w:val="24"/>
          <w:szCs w:val="20"/>
        </w:rPr>
        <w:t>.</w:t>
      </w:r>
      <w:r w:rsidRPr="003D02A9">
        <w:rPr>
          <w:rFonts w:cs="Arial"/>
          <w:color w:val="222222"/>
          <w:sz w:val="21"/>
          <w:szCs w:val="21"/>
        </w:rPr>
        <w:t xml:space="preserve"> </w:t>
      </w:r>
      <w:r w:rsidRPr="00EC5678">
        <w:rPr>
          <w:rFonts w:cs="Arial"/>
          <w:color w:val="222222"/>
          <w:sz w:val="21"/>
          <w:szCs w:val="21"/>
        </w:rPr>
        <w:t xml:space="preserve">However, interoperability only works if everyone buys and implements exactly the same software suite from a single vendor. But </w:t>
      </w:r>
      <w:r>
        <w:rPr>
          <w:rFonts w:cs="Arial"/>
          <w:color w:val="222222"/>
          <w:sz w:val="21"/>
          <w:szCs w:val="21"/>
        </w:rPr>
        <w:t>EHR</w:t>
      </w:r>
      <w:r w:rsidRPr="00EC5678">
        <w:rPr>
          <w:rFonts w:cs="Arial"/>
          <w:color w:val="222222"/>
          <w:sz w:val="21"/>
          <w:szCs w:val="21"/>
        </w:rPr>
        <w:t xml:space="preserve"> systems are NOT the same, hence not interoperable because each system is implemented in a different way with different access protocols with no standardized process for capturing and sharing clinical data and PHI</w:t>
      </w:r>
      <w:r>
        <w:rPr>
          <w:noProof/>
          <w:kern w:val="24"/>
          <w:szCs w:val="20"/>
        </w:rPr>
        <w:t xml:space="preserve"> Solution: Interoperability testing and clinical data standardization will be part of all software assessements..</w:t>
      </w:r>
    </w:p>
    <w:p w14:paraId="46AF9B5C" w14:textId="77777777" w:rsidR="00B17F18" w:rsidRDefault="00B17F18" w:rsidP="00EF113E">
      <w:pPr>
        <w:ind w:left="360"/>
        <w:rPr>
          <w:noProof/>
          <w:kern w:val="24"/>
          <w:szCs w:val="20"/>
        </w:rPr>
      </w:pPr>
    </w:p>
    <w:p w14:paraId="59E7F52F" w14:textId="77777777" w:rsidR="00B17F18" w:rsidRDefault="00B17F18" w:rsidP="00EF113E">
      <w:pPr>
        <w:ind w:left="360"/>
        <w:rPr>
          <w:noProof/>
          <w:kern w:val="24"/>
          <w:szCs w:val="20"/>
        </w:rPr>
      </w:pPr>
    </w:p>
    <w:p w14:paraId="54FBA8F9" w14:textId="59C0D6A7" w:rsidR="008A6D12" w:rsidRPr="00EF113E" w:rsidRDefault="008A6D12" w:rsidP="00EF113E">
      <w:pPr>
        <w:ind w:left="360"/>
        <w:rPr>
          <w:noProof/>
          <w:kern w:val="24"/>
          <w:szCs w:val="20"/>
        </w:rPr>
      </w:pPr>
      <w:r w:rsidRPr="00EF113E">
        <w:rPr>
          <w:noProof/>
          <w:kern w:val="24"/>
          <w:szCs w:val="20"/>
        </w:rPr>
        <w:t xml:space="preserve">Documents for consideration:, Design Principles for a Healthcare Identity Environment </w:t>
      </w:r>
      <w:r w:rsidR="00F36D2F">
        <w:rPr>
          <w:noProof/>
          <w:kern w:val="24"/>
          <w:szCs w:val="20"/>
        </w:rPr>
        <w:t xml:space="preserve">(section 2 following) </w:t>
      </w:r>
      <w:r w:rsidR="00F36D2F" w:rsidRPr="00EF113E">
        <w:rPr>
          <w:noProof/>
          <w:kern w:val="24"/>
          <w:szCs w:val="20"/>
        </w:rPr>
        <w:t>Patient Choice</w:t>
      </w:r>
      <w:r w:rsidR="00F36D2F">
        <w:rPr>
          <w:noProof/>
          <w:kern w:val="24"/>
          <w:szCs w:val="20"/>
        </w:rPr>
        <w:t xml:space="preserve"> (section 3 following)</w:t>
      </w:r>
      <w:r w:rsidR="00F36D2F" w:rsidRPr="00EF113E">
        <w:rPr>
          <w:noProof/>
          <w:kern w:val="24"/>
          <w:szCs w:val="20"/>
        </w:rPr>
        <w:t xml:space="preserve"> </w:t>
      </w:r>
      <w:r w:rsidRPr="00EF113E">
        <w:rPr>
          <w:noProof/>
          <w:kern w:val="24"/>
          <w:szCs w:val="20"/>
        </w:rPr>
        <w:t>and</w:t>
      </w:r>
      <w:r w:rsidR="00EF113E">
        <w:rPr>
          <w:noProof/>
          <w:kern w:val="24"/>
          <w:szCs w:val="20"/>
        </w:rPr>
        <w:t xml:space="preserve"> </w:t>
      </w:r>
      <w:hyperlink r:id="rId11" w:history="1">
        <w:r w:rsidRPr="00F36D2F">
          <w:rPr>
            <w:rStyle w:val="Hyperlink"/>
            <w:noProof/>
            <w:kern w:val="24"/>
            <w:szCs w:val="20"/>
          </w:rPr>
          <w:t>Distributed Identity Assurance Specification</w:t>
        </w:r>
        <w:r w:rsidR="00F36D2F" w:rsidRPr="00F36D2F">
          <w:rPr>
            <w:rStyle w:val="Hyperlink"/>
            <w:noProof/>
            <w:kern w:val="24"/>
            <w:szCs w:val="20"/>
          </w:rPr>
          <w:t xml:space="preserve"> (latest version available online.)</w:t>
        </w:r>
      </w:hyperlink>
    </w:p>
    <w:p w14:paraId="4CF74F72" w14:textId="77777777" w:rsidR="00B17F18" w:rsidRDefault="00B17F18" w:rsidP="00166BFD">
      <w:pPr>
        <w:spacing w:before="0" w:after="0"/>
        <w:rPr>
          <w:noProof/>
          <w:kern w:val="24"/>
          <w:szCs w:val="20"/>
        </w:rPr>
      </w:pPr>
    </w:p>
    <w:p w14:paraId="371C6B65" w14:textId="77777777" w:rsidR="00B17F18" w:rsidRDefault="00B17F18" w:rsidP="00166BFD">
      <w:pPr>
        <w:spacing w:before="0" w:after="0"/>
        <w:rPr>
          <w:noProof/>
          <w:kern w:val="24"/>
          <w:szCs w:val="20"/>
        </w:rPr>
      </w:pPr>
    </w:p>
    <w:p w14:paraId="5020351A" w14:textId="228122B8" w:rsidR="00C044F3" w:rsidRPr="00600CFD" w:rsidRDefault="00F36D2F" w:rsidP="00C044F3">
      <w:pPr>
        <w:pStyle w:val="BodyText"/>
        <w:spacing w:after="60" w:line="360" w:lineRule="auto"/>
        <w:rPr>
          <w:rFonts w:cs="Arial"/>
        </w:rPr>
      </w:pPr>
      <w:r>
        <w:rPr>
          <w:rFonts w:cs="Arial"/>
          <w:b/>
        </w:rPr>
        <w:t xml:space="preserve">Anyone can </w:t>
      </w:r>
      <w:r w:rsidR="00C044F3">
        <w:rPr>
          <w:rFonts w:cs="Arial"/>
          <w:b/>
        </w:rPr>
        <w:t>Direct Comments</w:t>
      </w:r>
      <w:r>
        <w:rPr>
          <w:rFonts w:cs="Arial"/>
          <w:b/>
        </w:rPr>
        <w:t xml:space="preserve"> on any of these documents to</w:t>
      </w:r>
      <w:r w:rsidR="00C044F3" w:rsidRPr="00F11B5E">
        <w:rPr>
          <w:rFonts w:cs="Arial"/>
          <w:b/>
        </w:rPr>
        <w:t>:</w:t>
      </w:r>
      <w:r w:rsidR="00C044F3">
        <w:rPr>
          <w:rFonts w:cs="Arial"/>
        </w:rPr>
        <w:tab/>
      </w:r>
      <w:hyperlink r:id="rId12" w:history="1">
        <w:r w:rsidR="00C044F3" w:rsidRPr="005E3FF2">
          <w:rPr>
            <w:rStyle w:val="Hyperlink"/>
            <w:sz w:val="20"/>
          </w:rPr>
          <w:t>https://github.com/KantaraInitiative/DistributedAssurance/issues</w:t>
        </w:r>
      </w:hyperlink>
    </w:p>
    <w:p w14:paraId="18F6D398" w14:textId="77777777" w:rsidR="00C044F3" w:rsidRPr="00166BFD" w:rsidRDefault="00C044F3" w:rsidP="00166BFD">
      <w:pPr>
        <w:spacing w:before="0" w:after="0"/>
        <w:rPr>
          <w:noProof/>
          <w:kern w:val="24"/>
          <w:szCs w:val="20"/>
        </w:rPr>
      </w:pPr>
    </w:p>
    <w:p w14:paraId="1B6B8246" w14:textId="6DC9F0FC" w:rsidR="0061421F" w:rsidRDefault="00D02BC3" w:rsidP="002B513E">
      <w:pPr>
        <w:pStyle w:val="Heading1"/>
      </w:pPr>
      <w:bookmarkStart w:id="6" w:name="Section1"/>
      <w:bookmarkStart w:id="7" w:name="_Ref90429168"/>
      <w:bookmarkStart w:id="8" w:name="_Ref90430045"/>
      <w:bookmarkEnd w:id="6"/>
      <w:r>
        <w:lastRenderedPageBreak/>
        <w:t>Principles</w:t>
      </w:r>
      <w:r w:rsidR="00976317">
        <w:t xml:space="preserve"> of Identity Assurance</w:t>
      </w:r>
    </w:p>
    <w:p w14:paraId="5CACA6A7" w14:textId="44ACCC9E" w:rsidR="00967EAA" w:rsidRPr="00967EAA" w:rsidRDefault="00967EAA" w:rsidP="00B17F18">
      <w:pPr>
        <w:pStyle w:val="Heading2"/>
      </w:pPr>
      <w:r w:rsidRPr="00967EAA">
        <w:t>Introduction</w:t>
      </w:r>
    </w:p>
    <w:p w14:paraId="66824EE0" w14:textId="52E5CF9E" w:rsidR="00967EAA" w:rsidRPr="00967EAA" w:rsidRDefault="00967EAA" w:rsidP="00967EAA">
      <w:proofErr w:type="spellStart"/>
      <w:r w:rsidRPr="00967EAA">
        <w:t>Kantara’s</w:t>
      </w:r>
      <w:proofErr w:type="spellEnd"/>
      <w:r w:rsidRPr="00967EAA">
        <w:t xml:space="preserve"> Healthcare Identity Assurance Working Group (HIAWG) is building on the work of the Healthcare Committee of the former Identity Ecosystem Steering Group (IDESG</w:t>
      </w:r>
      <w:r w:rsidR="00484317">
        <w:t>, supported by NIST</w:t>
      </w:r>
      <w:r w:rsidRPr="00967EAA">
        <w:t xml:space="preserve">) towards defining design </w:t>
      </w:r>
      <w:r w:rsidR="00484317">
        <w:t>principles/</w:t>
      </w:r>
      <w:r w:rsidRPr="00967EAA">
        <w:t xml:space="preserve">goals (i.e., high-level requirements) for an identity architecture for the national healthcare sector. This healthcare-specific architecture should meet the business requirements of that sector while also maintaining alignment with the IDESG’s non-sector-specific Identity Ecosystem Framework (IDEF), which is itself designed to conform to the principles of the 2012 </w:t>
      </w:r>
      <w:r w:rsidRPr="00967EAA">
        <w:rPr>
          <w:i/>
          <w:iCs/>
        </w:rPr>
        <w:t>National Strategy for Trusted Identities in Cyberspace</w:t>
      </w:r>
      <w:r w:rsidRPr="00967EAA">
        <w:t xml:space="preserve"> (NSTIC.) </w:t>
      </w:r>
    </w:p>
    <w:p w14:paraId="3018CB08" w14:textId="0F69E23F" w:rsidR="00967EAA" w:rsidRPr="00967EAA" w:rsidRDefault="00967EAA" w:rsidP="00967EAA">
      <w:r w:rsidRPr="00967EAA">
        <w:t xml:space="preserve">The </w:t>
      </w:r>
      <w:r w:rsidRPr="00967EAA">
        <w:rPr>
          <w:i/>
          <w:iCs/>
        </w:rPr>
        <w:t xml:space="preserve">Design </w:t>
      </w:r>
      <w:r w:rsidR="00553B25">
        <w:rPr>
          <w:i/>
          <w:iCs/>
        </w:rPr>
        <w:t>Principles</w:t>
      </w:r>
      <w:r w:rsidR="00484317">
        <w:rPr>
          <w:i/>
          <w:iCs/>
        </w:rPr>
        <w:t>/</w:t>
      </w:r>
      <w:r w:rsidRPr="00967EAA">
        <w:rPr>
          <w:i/>
          <w:iCs/>
        </w:rPr>
        <w:t xml:space="preserve">Goals </w:t>
      </w:r>
      <w:r w:rsidRPr="00967EAA">
        <w:t xml:space="preserve">below are the IDESG Healthcare Committee design principles as updated by the HIAWG. Table 1, following, maps these HIAWG </w:t>
      </w:r>
      <w:r w:rsidRPr="00967EAA">
        <w:rPr>
          <w:i/>
          <w:iCs/>
        </w:rPr>
        <w:t>Design Goals</w:t>
      </w:r>
      <w:r w:rsidRPr="00967EAA">
        <w:t xml:space="preserve"> to NSTIC Principles. Two results of this mapping exercise are notable: first, in some cases the WG concluded that a Healthcare Design Goal was not related to any NSTIC Principle, or even negatively related; second, in many cases HIAWG members expressed different interpretations of a Principle, or focused on different aspects of how a particular HIAWG Design Goal might relate to one of the NSTIC Principles. For example, some in the WG interpreted the NSTIC Principle of “Voluntary” as meaning that individuals should have maximum control of their identity information, whereas others, citing the political context in which the NSTIC was created, thought it meant that the Government should not mandate use of the IDEF (or any specific framework) by all relying parties or subscribers (individual users.)   The Comments in the mapping table and the HIAWG Member Comments on individual mappings provide some insight into what interpretations and assumptions underlie the alignment scores. </w:t>
      </w:r>
    </w:p>
    <w:p w14:paraId="4231BBB6" w14:textId="1300FAD9" w:rsidR="00967EAA" w:rsidRPr="00967EAA" w:rsidRDefault="00967EAA" w:rsidP="00B17F18">
      <w:pPr>
        <w:pStyle w:val="Heading2"/>
      </w:pPr>
      <w:bookmarkStart w:id="9" w:name="_Hlk29634448"/>
      <w:r w:rsidRPr="00967EAA">
        <w:t xml:space="preserve">Design </w:t>
      </w:r>
      <w:r w:rsidR="00484317">
        <w:t>Principles/</w:t>
      </w:r>
      <w:r w:rsidRPr="00967EAA">
        <w:t>Goals for a Healthcare Identity Environment Architecture</w:t>
      </w:r>
    </w:p>
    <w:bookmarkEnd w:id="9"/>
    <w:p w14:paraId="08FB0BBD" w14:textId="27A401D8" w:rsidR="00967EAA" w:rsidRDefault="00967EAA" w:rsidP="00967EAA">
      <w:r w:rsidRPr="00967EAA">
        <w:t xml:space="preserve">Design </w:t>
      </w:r>
      <w:proofErr w:type="spellStart"/>
      <w:r w:rsidR="00484317">
        <w:t>princiles</w:t>
      </w:r>
      <w:proofErr w:type="spellEnd"/>
      <w:r w:rsidR="00484317">
        <w:t>/</w:t>
      </w:r>
      <w:r w:rsidRPr="00967EAA">
        <w:t>goals are high-level requirements for how a system will perform its intended functions. The “system” in this case is an environment comprised of an unspecified number of separately owned and independently managed systems, which include technology (IT) as well as environment-wide rules and standards applicable to all participants. These systems interoperate to provide an identity and access-management (IAM) environment for transactions and information exchanges among healthcare providers and related organizations, their employees and contractors, other stakeholder organizations (e.g. regulators) and individual healthcar</w:t>
      </w:r>
      <w:r>
        <w:t>e customers, that is, patients.</w:t>
      </w:r>
    </w:p>
    <w:p w14:paraId="587B661E" w14:textId="77777777" w:rsidR="00967EAA" w:rsidRPr="00967EAA" w:rsidRDefault="00967EAA" w:rsidP="00967EAA">
      <w:pPr>
        <w:spacing w:before="0" w:after="0"/>
      </w:pPr>
    </w:p>
    <w:p w14:paraId="21FE043D" w14:textId="77777777" w:rsidR="00967EAA" w:rsidRPr="00967EAA" w:rsidRDefault="00967EAA" w:rsidP="00967EAA">
      <w:pPr>
        <w:spacing w:before="0" w:after="0"/>
      </w:pPr>
      <w:r w:rsidRPr="00967EAA">
        <w:t xml:space="preserve">The HIAWG has identified the following as requirements for a healthcare IAM environment:   </w:t>
      </w:r>
    </w:p>
    <w:p w14:paraId="28F562F1" w14:textId="77777777" w:rsidR="00967EAA" w:rsidRPr="00967EAA" w:rsidRDefault="00967EAA" w:rsidP="00EF7788">
      <w:pPr>
        <w:numPr>
          <w:ilvl w:val="0"/>
          <w:numId w:val="19"/>
        </w:numPr>
        <w:spacing w:before="0" w:after="0"/>
      </w:pPr>
      <w:r w:rsidRPr="00967EAA">
        <w:t>The system shall support the goal of 100% accuracy in identity management and matching of patients to their health records</w:t>
      </w:r>
    </w:p>
    <w:p w14:paraId="68E175AA" w14:textId="77777777" w:rsidR="00967EAA" w:rsidRPr="00967EAA" w:rsidRDefault="00967EAA" w:rsidP="00EF7788">
      <w:pPr>
        <w:numPr>
          <w:ilvl w:val="0"/>
          <w:numId w:val="19"/>
        </w:numPr>
        <w:spacing w:before="0" w:after="0"/>
      </w:pPr>
      <w:r w:rsidRPr="00967EAA">
        <w:t>The system shall include "Break the Glass" (BTG) capability for use in emergencies. A BTG capability allows access to information and functions that would not be permitted in non-emergency circumstances. A record of information accessed and actions taken using BTG capability must be included in audit logs (see Requirement 4. below) and notices or receipts should be sent to patients or others affected to inform them of the emergency access.</w:t>
      </w:r>
    </w:p>
    <w:p w14:paraId="2C6BEADA" w14:textId="48DF3C63" w:rsidR="00967EAA" w:rsidRPr="00967EAA" w:rsidRDefault="00967EAA" w:rsidP="00EF7788">
      <w:pPr>
        <w:numPr>
          <w:ilvl w:val="0"/>
          <w:numId w:val="19"/>
        </w:numPr>
        <w:spacing w:before="0" w:after="0"/>
      </w:pPr>
      <w:r w:rsidRPr="00967EAA">
        <w:t>The system shall include features that preserve privacy of identity data</w:t>
      </w:r>
      <w:r w:rsidR="00B17F18" w:rsidRPr="00967EAA">
        <w:t>, including</w:t>
      </w:r>
      <w:r w:rsidRPr="00967EAA">
        <w:t xml:space="preserve"> support for anonymous or pseudonymous access where risk factors allow; use of </w:t>
      </w:r>
      <w:r w:rsidRPr="00967EAA">
        <w:lastRenderedPageBreak/>
        <w:t xml:space="preserve">opaque identifiers; minimum exchange of PII not essential for authentication; and use of claims versus identifying attributes to support authorization. </w:t>
      </w:r>
    </w:p>
    <w:p w14:paraId="431D7CD8" w14:textId="77777777" w:rsidR="00967EAA" w:rsidRPr="00967EAA" w:rsidRDefault="00967EAA" w:rsidP="00EF7788">
      <w:pPr>
        <w:numPr>
          <w:ilvl w:val="0"/>
          <w:numId w:val="19"/>
        </w:numPr>
        <w:spacing w:before="0" w:after="0"/>
      </w:pPr>
      <w:r w:rsidRPr="00967EAA">
        <w:t>To enable compliance audits and forensics, the system shall create, protect and support analysis of comprehensive logs of access requests, modifications to identity and privileges records, and modifications to the configuration of IAM system components. Integrity of distributed logs also requires time-stamping that is consistent across the environment.</w:t>
      </w:r>
    </w:p>
    <w:p w14:paraId="5D4B4787" w14:textId="77777777" w:rsidR="00967EAA" w:rsidRPr="00967EAA" w:rsidRDefault="00967EAA" w:rsidP="00EF7788">
      <w:pPr>
        <w:numPr>
          <w:ilvl w:val="0"/>
          <w:numId w:val="19"/>
        </w:numPr>
        <w:spacing w:before="0" w:after="0"/>
      </w:pPr>
      <w:r w:rsidRPr="00967EAA">
        <w:t>All features of the system shall be designed to maximize patient safety and to minimize healthcare providers’ liability arising from inaccurate, duplicate or conflicting identity information.</w:t>
      </w:r>
    </w:p>
    <w:p w14:paraId="2C03F6D0" w14:textId="77777777" w:rsidR="00967EAA" w:rsidRPr="00967EAA" w:rsidRDefault="00967EAA" w:rsidP="00EF7788">
      <w:pPr>
        <w:numPr>
          <w:ilvl w:val="0"/>
          <w:numId w:val="19"/>
        </w:numPr>
        <w:spacing w:before="0" w:after="0"/>
      </w:pPr>
      <w:r w:rsidRPr="00967EAA">
        <w:t xml:space="preserve">The system shall support flexible, understandable and simple delegation of authority to a “proxy” to access healthcare information and functions. This includes support for simple and inexpensive creation of appropriately strong credentials for the designated proxy (or use of the proxy’s existing credentials that meet applicable standards (see Requirements 7 and 8 below) </w:t>
      </w:r>
    </w:p>
    <w:p w14:paraId="2F204B33" w14:textId="77777777" w:rsidR="00967EAA" w:rsidRPr="00967EAA" w:rsidRDefault="00967EAA" w:rsidP="00EF7788">
      <w:pPr>
        <w:numPr>
          <w:ilvl w:val="0"/>
          <w:numId w:val="19"/>
        </w:numPr>
        <w:spacing w:before="0" w:after="0"/>
      </w:pPr>
      <w:r w:rsidRPr="00967EAA">
        <w:t>The system shall support authentication at NIST 800-63-3 AAL1 and AAL2, and federation of authenticators and attributes at FAL1 and FAL2. (Relying Party systems may choose not to accept federated authenticators or attributes.)</w:t>
      </w:r>
    </w:p>
    <w:p w14:paraId="04F1C1DE" w14:textId="59E778FC" w:rsidR="00967EAA" w:rsidRPr="00967EAA" w:rsidRDefault="00967EAA" w:rsidP="00EF7788">
      <w:pPr>
        <w:numPr>
          <w:ilvl w:val="0"/>
          <w:numId w:val="19"/>
        </w:numPr>
        <w:spacing w:before="0" w:after="0"/>
      </w:pPr>
      <w:r w:rsidRPr="00967EAA">
        <w:t>The system shall support identity proofing of subscribers (holders of acceptable authentication credentials) at NIST 800-63-3 IAL1 and IAL2, and include a mechanism to convey the IAL of a subscriber’s identity securely to Relying Parties.</w:t>
      </w:r>
    </w:p>
    <w:p w14:paraId="49A7090F" w14:textId="77777777" w:rsidR="00967EAA" w:rsidRPr="00967EAA" w:rsidRDefault="00967EAA" w:rsidP="00EF7788">
      <w:pPr>
        <w:numPr>
          <w:ilvl w:val="0"/>
          <w:numId w:val="19"/>
        </w:numPr>
        <w:spacing w:before="0" w:after="0"/>
      </w:pPr>
      <w:r w:rsidRPr="00967EAA">
        <w:t xml:space="preserve">The system shall be resilient, with the ability to sustain critical healthcare operations and to recover quickly in the event of accidental damage, natural disaster or malicious attack.  </w:t>
      </w:r>
    </w:p>
    <w:p w14:paraId="2813731F" w14:textId="77777777" w:rsidR="00967EAA" w:rsidRPr="00967EAA" w:rsidRDefault="00967EAA" w:rsidP="00EF7788">
      <w:pPr>
        <w:numPr>
          <w:ilvl w:val="0"/>
          <w:numId w:val="19"/>
        </w:numPr>
        <w:spacing w:before="0" w:after="0"/>
        <w:rPr>
          <w:b/>
          <w:bCs/>
        </w:rPr>
      </w:pPr>
      <w:r w:rsidRPr="00967EAA">
        <w:t>The system shall support effective redress via technological features, contractual agreements, and (if necessary) regulations to assign and enforce liability for intentional identity fraud, negligence, or failure to observe agreed obligations assumed as a participant in the healthcare IAM environment</w:t>
      </w:r>
      <w:r w:rsidRPr="00967EAA">
        <w:rPr>
          <w:b/>
          <w:bCs/>
        </w:rPr>
        <w:t>.  Liability insurance is recommended in addition or as an alternative to the statuary requirement.</w:t>
      </w:r>
    </w:p>
    <w:p w14:paraId="7F54B0AC" w14:textId="77777777" w:rsidR="00967EAA" w:rsidRPr="00967EAA" w:rsidRDefault="00967EAA" w:rsidP="00967EAA">
      <w:pPr>
        <w:spacing w:before="0" w:after="0"/>
        <w:rPr>
          <w:b/>
          <w:bCs/>
        </w:rPr>
      </w:pPr>
    </w:p>
    <w:p w14:paraId="0ACBD4D3" w14:textId="77777777" w:rsidR="00967EAA" w:rsidRDefault="00967EAA">
      <w:pPr>
        <w:spacing w:before="0" w:after="0"/>
        <w:rPr>
          <w:b/>
          <w:bCs/>
        </w:rPr>
      </w:pPr>
      <w:r>
        <w:rPr>
          <w:b/>
          <w:bCs/>
        </w:rPr>
        <w:br w:type="page"/>
      </w:r>
    </w:p>
    <w:p w14:paraId="655C0BFE" w14:textId="77777777" w:rsidR="00A36B9D" w:rsidRDefault="00A36B9D" w:rsidP="00967EAA">
      <w:pPr>
        <w:spacing w:before="0" w:after="0"/>
        <w:rPr>
          <w:b/>
          <w:bCs/>
        </w:rPr>
        <w:sectPr w:rsidR="00A36B9D" w:rsidSect="00976317">
          <w:headerReference w:type="default" r:id="rId13"/>
          <w:footerReference w:type="even" r:id="rId14"/>
          <w:footerReference w:type="default" r:id="rId15"/>
          <w:headerReference w:type="first" r:id="rId16"/>
          <w:footerReference w:type="first" r:id="rId17"/>
          <w:pgSz w:w="12242" w:h="15842" w:code="1"/>
          <w:pgMar w:top="720" w:right="1440" w:bottom="1440" w:left="1800" w:header="720" w:footer="619" w:gutter="0"/>
          <w:cols w:space="720"/>
          <w:titlePg/>
          <w:docGrid w:linePitch="299"/>
        </w:sectPr>
      </w:pPr>
    </w:p>
    <w:p w14:paraId="6F0AC0B9" w14:textId="76E8CCBC" w:rsidR="00967EAA" w:rsidRPr="00967EAA" w:rsidRDefault="00967EAA" w:rsidP="00967EAA">
      <w:pPr>
        <w:spacing w:before="0" w:after="0"/>
        <w:rPr>
          <w:b/>
          <w:bCs/>
        </w:rPr>
      </w:pPr>
      <w:r w:rsidRPr="00967EAA">
        <w:rPr>
          <w:b/>
          <w:bCs/>
        </w:rPr>
        <w:lastRenderedPageBreak/>
        <w:t xml:space="preserve">Table 1.--Mapping of Kantara Health ID Assurance WG (HIAWG) Requirements </w:t>
      </w:r>
      <w:r w:rsidR="00A36B9D">
        <w:rPr>
          <w:b/>
          <w:bCs/>
        </w:rPr>
        <w:t>against</w:t>
      </w:r>
      <w:r w:rsidRPr="00967EAA">
        <w:rPr>
          <w:b/>
          <w:bCs/>
        </w:rPr>
        <w:t xml:space="preserve"> NSTIC Principles</w:t>
      </w:r>
    </w:p>
    <w:tbl>
      <w:tblPr>
        <w:tblStyle w:val="TableGrid"/>
        <w:tblW w:w="14215" w:type="dxa"/>
        <w:tblLook w:val="04A0" w:firstRow="1" w:lastRow="0" w:firstColumn="1" w:lastColumn="0" w:noHBand="0" w:noVBand="1"/>
      </w:tblPr>
      <w:tblGrid>
        <w:gridCol w:w="2576"/>
        <w:gridCol w:w="575"/>
        <w:gridCol w:w="1341"/>
        <w:gridCol w:w="1231"/>
        <w:gridCol w:w="950"/>
        <w:gridCol w:w="1133"/>
        <w:gridCol w:w="1610"/>
        <w:gridCol w:w="1134"/>
        <w:gridCol w:w="797"/>
        <w:gridCol w:w="2868"/>
      </w:tblGrid>
      <w:tr w:rsidR="00967EAA" w:rsidRPr="00967EAA" w14:paraId="4468FE08" w14:textId="77777777" w:rsidTr="00B46FDD">
        <w:trPr>
          <w:cantSplit/>
          <w:trHeight w:val="1134"/>
        </w:trPr>
        <w:tc>
          <w:tcPr>
            <w:tcW w:w="2408" w:type="dxa"/>
            <w:noWrap/>
            <w:hideMark/>
          </w:tcPr>
          <w:p w14:paraId="0A907E5C" w14:textId="77777777" w:rsidR="00967EAA" w:rsidRPr="00967EAA" w:rsidRDefault="00967EAA" w:rsidP="00967EAA">
            <w:pPr>
              <w:spacing w:before="0" w:after="0"/>
              <w:rPr>
                <w:b/>
                <w:bCs/>
              </w:rPr>
            </w:pPr>
          </w:p>
        </w:tc>
        <w:tc>
          <w:tcPr>
            <w:tcW w:w="647" w:type="dxa"/>
            <w:shd w:val="clear" w:color="auto" w:fill="D9D9D9" w:themeFill="background1" w:themeFillShade="D9"/>
            <w:textDirection w:val="tbRl"/>
          </w:tcPr>
          <w:p w14:paraId="644C3A5B" w14:textId="77777777" w:rsidR="00967EAA" w:rsidRPr="00967EAA" w:rsidRDefault="00967EAA" w:rsidP="00967EAA">
            <w:pPr>
              <w:spacing w:before="0" w:after="0"/>
              <w:rPr>
                <w:b/>
                <w:bCs/>
              </w:rPr>
            </w:pPr>
            <w:r w:rsidRPr="00967EAA">
              <w:rPr>
                <w:b/>
                <w:bCs/>
              </w:rPr>
              <w:t>NSTIC Principle</w:t>
            </w:r>
          </w:p>
        </w:tc>
        <w:tc>
          <w:tcPr>
            <w:tcW w:w="1224" w:type="dxa"/>
            <w:shd w:val="clear" w:color="auto" w:fill="D9D9D9" w:themeFill="background1" w:themeFillShade="D9"/>
            <w:noWrap/>
            <w:hideMark/>
          </w:tcPr>
          <w:p w14:paraId="5B6791F8" w14:textId="77777777" w:rsidR="00967EAA" w:rsidRPr="00967EAA" w:rsidRDefault="00967EAA" w:rsidP="00967EAA">
            <w:pPr>
              <w:spacing w:before="0" w:after="0"/>
              <w:rPr>
                <w:b/>
                <w:bCs/>
              </w:rPr>
            </w:pPr>
          </w:p>
          <w:p w14:paraId="2F57B9ED" w14:textId="77777777" w:rsidR="00967EAA" w:rsidRPr="00967EAA" w:rsidRDefault="00967EAA" w:rsidP="00967EAA">
            <w:pPr>
              <w:spacing w:before="0" w:after="0"/>
              <w:rPr>
                <w:b/>
                <w:bCs/>
              </w:rPr>
            </w:pPr>
            <w:r w:rsidRPr="00967EAA">
              <w:rPr>
                <w:b/>
                <w:bCs/>
              </w:rPr>
              <w:t>Privacy Enhancing</w:t>
            </w:r>
          </w:p>
        </w:tc>
        <w:tc>
          <w:tcPr>
            <w:tcW w:w="1170" w:type="dxa"/>
            <w:shd w:val="clear" w:color="auto" w:fill="D9D9D9" w:themeFill="background1" w:themeFillShade="D9"/>
            <w:hideMark/>
          </w:tcPr>
          <w:p w14:paraId="538482FA" w14:textId="77777777" w:rsidR="00967EAA" w:rsidRPr="00967EAA" w:rsidRDefault="00967EAA" w:rsidP="00967EAA">
            <w:pPr>
              <w:spacing w:before="0" w:after="0"/>
              <w:rPr>
                <w:b/>
                <w:bCs/>
              </w:rPr>
            </w:pPr>
          </w:p>
          <w:p w14:paraId="1DA18E68" w14:textId="77777777" w:rsidR="00967EAA" w:rsidRPr="00967EAA" w:rsidRDefault="00967EAA" w:rsidP="00967EAA">
            <w:pPr>
              <w:spacing w:before="0" w:after="0"/>
              <w:rPr>
                <w:b/>
                <w:bCs/>
              </w:rPr>
            </w:pPr>
          </w:p>
          <w:p w14:paraId="59E10099" w14:textId="77777777" w:rsidR="00967EAA" w:rsidRPr="00967EAA" w:rsidRDefault="00967EAA" w:rsidP="00967EAA">
            <w:pPr>
              <w:spacing w:before="0" w:after="0"/>
              <w:rPr>
                <w:b/>
                <w:bCs/>
              </w:rPr>
            </w:pPr>
            <w:r w:rsidRPr="00967EAA">
              <w:rPr>
                <w:b/>
                <w:bCs/>
              </w:rPr>
              <w:t>Voluntary</w:t>
            </w:r>
          </w:p>
        </w:tc>
        <w:tc>
          <w:tcPr>
            <w:tcW w:w="900" w:type="dxa"/>
            <w:shd w:val="clear" w:color="auto" w:fill="D9D9D9" w:themeFill="background1" w:themeFillShade="D9"/>
            <w:hideMark/>
          </w:tcPr>
          <w:p w14:paraId="27E0DF1A" w14:textId="77777777" w:rsidR="00967EAA" w:rsidRPr="00967EAA" w:rsidRDefault="00967EAA" w:rsidP="00967EAA">
            <w:pPr>
              <w:spacing w:before="0" w:after="0"/>
              <w:rPr>
                <w:b/>
                <w:bCs/>
              </w:rPr>
            </w:pPr>
          </w:p>
          <w:p w14:paraId="78DBA309" w14:textId="77777777" w:rsidR="00967EAA" w:rsidRPr="00967EAA" w:rsidRDefault="00967EAA" w:rsidP="00967EAA">
            <w:pPr>
              <w:spacing w:before="0" w:after="0"/>
              <w:rPr>
                <w:b/>
                <w:bCs/>
              </w:rPr>
            </w:pPr>
          </w:p>
          <w:p w14:paraId="1D0A921F" w14:textId="77777777" w:rsidR="00967EAA" w:rsidRPr="00967EAA" w:rsidRDefault="00967EAA" w:rsidP="00967EAA">
            <w:pPr>
              <w:spacing w:before="0" w:after="0"/>
              <w:rPr>
                <w:b/>
                <w:bCs/>
              </w:rPr>
            </w:pPr>
            <w:r w:rsidRPr="00967EAA">
              <w:rPr>
                <w:b/>
                <w:bCs/>
              </w:rPr>
              <w:t>Secure</w:t>
            </w:r>
          </w:p>
        </w:tc>
        <w:tc>
          <w:tcPr>
            <w:tcW w:w="1080" w:type="dxa"/>
            <w:shd w:val="clear" w:color="auto" w:fill="D9D9D9" w:themeFill="background1" w:themeFillShade="D9"/>
            <w:hideMark/>
          </w:tcPr>
          <w:p w14:paraId="399480DC" w14:textId="77777777" w:rsidR="00967EAA" w:rsidRPr="00967EAA" w:rsidRDefault="00967EAA" w:rsidP="00967EAA">
            <w:pPr>
              <w:spacing w:before="0" w:after="0"/>
              <w:rPr>
                <w:b/>
                <w:bCs/>
              </w:rPr>
            </w:pPr>
          </w:p>
          <w:p w14:paraId="11204A59" w14:textId="77777777" w:rsidR="00967EAA" w:rsidRPr="00967EAA" w:rsidRDefault="00967EAA" w:rsidP="00967EAA">
            <w:pPr>
              <w:spacing w:before="0" w:after="0"/>
              <w:rPr>
                <w:b/>
                <w:bCs/>
              </w:rPr>
            </w:pPr>
          </w:p>
          <w:p w14:paraId="1ED0E451" w14:textId="77777777" w:rsidR="00967EAA" w:rsidRPr="00967EAA" w:rsidRDefault="00967EAA" w:rsidP="00967EAA">
            <w:pPr>
              <w:spacing w:before="0" w:after="0"/>
              <w:rPr>
                <w:b/>
                <w:bCs/>
              </w:rPr>
            </w:pPr>
            <w:r w:rsidRPr="00967EAA">
              <w:rPr>
                <w:b/>
                <w:bCs/>
              </w:rPr>
              <w:t>Resilient</w:t>
            </w:r>
          </w:p>
        </w:tc>
        <w:tc>
          <w:tcPr>
            <w:tcW w:w="1475" w:type="dxa"/>
            <w:shd w:val="clear" w:color="auto" w:fill="D9D9D9" w:themeFill="background1" w:themeFillShade="D9"/>
            <w:hideMark/>
          </w:tcPr>
          <w:p w14:paraId="4ED3C2CE" w14:textId="77777777" w:rsidR="00967EAA" w:rsidRPr="00967EAA" w:rsidRDefault="00967EAA" w:rsidP="00967EAA">
            <w:pPr>
              <w:spacing w:before="0" w:after="0"/>
              <w:rPr>
                <w:b/>
                <w:bCs/>
              </w:rPr>
            </w:pPr>
          </w:p>
          <w:p w14:paraId="2CE52856" w14:textId="77777777" w:rsidR="00967EAA" w:rsidRPr="00967EAA" w:rsidRDefault="00967EAA" w:rsidP="00967EAA">
            <w:pPr>
              <w:spacing w:before="0" w:after="0"/>
              <w:rPr>
                <w:b/>
                <w:bCs/>
              </w:rPr>
            </w:pPr>
          </w:p>
          <w:p w14:paraId="6E493A5D" w14:textId="77777777" w:rsidR="00967EAA" w:rsidRPr="00967EAA" w:rsidRDefault="00967EAA" w:rsidP="00967EAA">
            <w:pPr>
              <w:spacing w:before="0" w:after="0"/>
              <w:rPr>
                <w:b/>
                <w:bCs/>
              </w:rPr>
            </w:pPr>
            <w:r w:rsidRPr="00967EAA">
              <w:rPr>
                <w:b/>
                <w:bCs/>
              </w:rPr>
              <w:t>Interoperable</w:t>
            </w:r>
          </w:p>
        </w:tc>
        <w:tc>
          <w:tcPr>
            <w:tcW w:w="1011" w:type="dxa"/>
            <w:shd w:val="clear" w:color="auto" w:fill="D9D9D9" w:themeFill="background1" w:themeFillShade="D9"/>
            <w:hideMark/>
          </w:tcPr>
          <w:p w14:paraId="0A50FACC" w14:textId="77777777" w:rsidR="00967EAA" w:rsidRPr="00967EAA" w:rsidRDefault="00967EAA" w:rsidP="00967EAA">
            <w:pPr>
              <w:spacing w:before="0" w:after="0"/>
              <w:rPr>
                <w:b/>
                <w:bCs/>
              </w:rPr>
            </w:pPr>
          </w:p>
          <w:p w14:paraId="5FB22512" w14:textId="77777777" w:rsidR="00967EAA" w:rsidRPr="00967EAA" w:rsidRDefault="00967EAA" w:rsidP="00967EAA">
            <w:pPr>
              <w:spacing w:before="0" w:after="0"/>
              <w:rPr>
                <w:b/>
                <w:bCs/>
              </w:rPr>
            </w:pPr>
            <w:r w:rsidRPr="00967EAA">
              <w:rPr>
                <w:b/>
                <w:bCs/>
              </w:rPr>
              <w:t>Cost Effective</w:t>
            </w:r>
          </w:p>
        </w:tc>
        <w:tc>
          <w:tcPr>
            <w:tcW w:w="797" w:type="dxa"/>
            <w:shd w:val="clear" w:color="auto" w:fill="D9D9D9" w:themeFill="background1" w:themeFillShade="D9"/>
            <w:hideMark/>
          </w:tcPr>
          <w:p w14:paraId="50450FE2" w14:textId="77777777" w:rsidR="00967EAA" w:rsidRPr="00967EAA" w:rsidRDefault="00967EAA" w:rsidP="00967EAA">
            <w:pPr>
              <w:spacing w:before="0" w:after="0"/>
              <w:rPr>
                <w:b/>
                <w:bCs/>
              </w:rPr>
            </w:pPr>
            <w:r w:rsidRPr="00967EAA">
              <w:rPr>
                <w:b/>
                <w:bCs/>
              </w:rPr>
              <w:t>Easy to Use</w:t>
            </w:r>
          </w:p>
        </w:tc>
        <w:tc>
          <w:tcPr>
            <w:tcW w:w="3503" w:type="dxa"/>
            <w:hideMark/>
          </w:tcPr>
          <w:p w14:paraId="047F43F8" w14:textId="77777777" w:rsidR="00967EAA" w:rsidRPr="00967EAA" w:rsidRDefault="00967EAA" w:rsidP="00967EAA">
            <w:pPr>
              <w:spacing w:before="0" w:after="0"/>
              <w:rPr>
                <w:b/>
                <w:bCs/>
              </w:rPr>
            </w:pPr>
          </w:p>
          <w:p w14:paraId="215F4608" w14:textId="77777777" w:rsidR="00967EAA" w:rsidRPr="00967EAA" w:rsidRDefault="00967EAA" w:rsidP="00967EAA">
            <w:pPr>
              <w:spacing w:before="0" w:after="0"/>
              <w:rPr>
                <w:b/>
                <w:bCs/>
              </w:rPr>
            </w:pPr>
          </w:p>
          <w:p w14:paraId="5F0E5894" w14:textId="77777777" w:rsidR="00967EAA" w:rsidRPr="00967EAA" w:rsidRDefault="00967EAA" w:rsidP="00967EAA">
            <w:pPr>
              <w:spacing w:before="0" w:after="0"/>
              <w:rPr>
                <w:b/>
                <w:bCs/>
              </w:rPr>
            </w:pPr>
            <w:r w:rsidRPr="00967EAA">
              <w:rPr>
                <w:b/>
                <w:bCs/>
              </w:rPr>
              <w:t>Comments</w:t>
            </w:r>
          </w:p>
        </w:tc>
      </w:tr>
      <w:tr w:rsidR="00967EAA" w:rsidRPr="00967EAA" w14:paraId="4A46C45E" w14:textId="77777777" w:rsidTr="00B46FDD">
        <w:trPr>
          <w:trHeight w:val="125"/>
        </w:trPr>
        <w:tc>
          <w:tcPr>
            <w:tcW w:w="2408" w:type="dxa"/>
            <w:shd w:val="clear" w:color="auto" w:fill="D9D9D9" w:themeFill="background1" w:themeFillShade="D9"/>
            <w:noWrap/>
            <w:hideMark/>
          </w:tcPr>
          <w:p w14:paraId="0AE651B3" w14:textId="77777777" w:rsidR="00967EAA" w:rsidRPr="00967EAA" w:rsidRDefault="00967EAA" w:rsidP="00967EAA">
            <w:pPr>
              <w:spacing w:before="0" w:after="0"/>
              <w:rPr>
                <w:b/>
                <w:bCs/>
              </w:rPr>
            </w:pPr>
            <w:r w:rsidRPr="00967EAA">
              <w:rPr>
                <w:b/>
                <w:bCs/>
              </w:rPr>
              <w:t>HIAWG Design Goal</w:t>
            </w:r>
          </w:p>
        </w:tc>
        <w:tc>
          <w:tcPr>
            <w:tcW w:w="647" w:type="dxa"/>
          </w:tcPr>
          <w:p w14:paraId="40D8FCDF" w14:textId="77777777" w:rsidR="00967EAA" w:rsidRPr="00967EAA" w:rsidRDefault="00967EAA" w:rsidP="00967EAA">
            <w:pPr>
              <w:spacing w:before="0" w:after="0"/>
            </w:pPr>
          </w:p>
        </w:tc>
        <w:tc>
          <w:tcPr>
            <w:tcW w:w="1224" w:type="dxa"/>
            <w:noWrap/>
            <w:hideMark/>
          </w:tcPr>
          <w:p w14:paraId="5F69BD5E" w14:textId="77777777" w:rsidR="00967EAA" w:rsidRPr="00967EAA" w:rsidRDefault="00967EAA" w:rsidP="00967EAA">
            <w:pPr>
              <w:spacing w:before="0" w:after="0"/>
            </w:pPr>
            <w:r w:rsidRPr="00967EAA">
              <w:t>1</w:t>
            </w:r>
          </w:p>
        </w:tc>
        <w:tc>
          <w:tcPr>
            <w:tcW w:w="1170" w:type="dxa"/>
            <w:noWrap/>
            <w:hideMark/>
          </w:tcPr>
          <w:p w14:paraId="7692AE7D" w14:textId="77777777" w:rsidR="00967EAA" w:rsidRPr="00967EAA" w:rsidRDefault="00967EAA" w:rsidP="00967EAA">
            <w:pPr>
              <w:spacing w:before="0" w:after="0"/>
            </w:pPr>
            <w:r w:rsidRPr="00967EAA">
              <w:t>2</w:t>
            </w:r>
          </w:p>
        </w:tc>
        <w:tc>
          <w:tcPr>
            <w:tcW w:w="900" w:type="dxa"/>
            <w:noWrap/>
            <w:hideMark/>
          </w:tcPr>
          <w:p w14:paraId="743CEE76" w14:textId="77777777" w:rsidR="00967EAA" w:rsidRPr="00967EAA" w:rsidRDefault="00967EAA" w:rsidP="00967EAA">
            <w:pPr>
              <w:spacing w:before="0" w:after="0"/>
            </w:pPr>
            <w:r w:rsidRPr="00967EAA">
              <w:t>3</w:t>
            </w:r>
          </w:p>
        </w:tc>
        <w:tc>
          <w:tcPr>
            <w:tcW w:w="1080" w:type="dxa"/>
            <w:noWrap/>
            <w:hideMark/>
          </w:tcPr>
          <w:p w14:paraId="60952B36" w14:textId="77777777" w:rsidR="00967EAA" w:rsidRPr="00967EAA" w:rsidRDefault="00967EAA" w:rsidP="00967EAA">
            <w:pPr>
              <w:spacing w:before="0" w:after="0"/>
            </w:pPr>
            <w:r w:rsidRPr="00967EAA">
              <w:t>4</w:t>
            </w:r>
          </w:p>
        </w:tc>
        <w:tc>
          <w:tcPr>
            <w:tcW w:w="1475" w:type="dxa"/>
            <w:noWrap/>
            <w:hideMark/>
          </w:tcPr>
          <w:p w14:paraId="55A7AAAE" w14:textId="77777777" w:rsidR="00967EAA" w:rsidRPr="00967EAA" w:rsidRDefault="00967EAA" w:rsidP="00967EAA">
            <w:pPr>
              <w:spacing w:before="0" w:after="0"/>
            </w:pPr>
            <w:r w:rsidRPr="00967EAA">
              <w:t>5</w:t>
            </w:r>
          </w:p>
        </w:tc>
        <w:tc>
          <w:tcPr>
            <w:tcW w:w="1011" w:type="dxa"/>
            <w:noWrap/>
            <w:hideMark/>
          </w:tcPr>
          <w:p w14:paraId="1C4BBCEA" w14:textId="77777777" w:rsidR="00967EAA" w:rsidRPr="00967EAA" w:rsidRDefault="00967EAA" w:rsidP="00967EAA">
            <w:pPr>
              <w:spacing w:before="0" w:after="0"/>
            </w:pPr>
            <w:r w:rsidRPr="00967EAA">
              <w:t>6</w:t>
            </w:r>
          </w:p>
        </w:tc>
        <w:tc>
          <w:tcPr>
            <w:tcW w:w="797" w:type="dxa"/>
            <w:noWrap/>
            <w:hideMark/>
          </w:tcPr>
          <w:p w14:paraId="209B1F79" w14:textId="77777777" w:rsidR="00967EAA" w:rsidRPr="00967EAA" w:rsidRDefault="00967EAA" w:rsidP="00967EAA">
            <w:pPr>
              <w:spacing w:before="0" w:after="0"/>
            </w:pPr>
            <w:r w:rsidRPr="00967EAA">
              <w:t>7</w:t>
            </w:r>
          </w:p>
        </w:tc>
        <w:tc>
          <w:tcPr>
            <w:tcW w:w="3503" w:type="dxa"/>
            <w:hideMark/>
          </w:tcPr>
          <w:p w14:paraId="7A131CDA" w14:textId="77777777" w:rsidR="00967EAA" w:rsidRPr="00967EAA" w:rsidRDefault="00967EAA" w:rsidP="00967EAA">
            <w:pPr>
              <w:spacing w:before="0" w:after="0"/>
            </w:pPr>
          </w:p>
        </w:tc>
      </w:tr>
      <w:tr w:rsidR="00967EAA" w:rsidRPr="00967EAA" w14:paraId="7C875182" w14:textId="77777777" w:rsidTr="00B46FDD">
        <w:trPr>
          <w:trHeight w:val="300"/>
        </w:trPr>
        <w:tc>
          <w:tcPr>
            <w:tcW w:w="2408" w:type="dxa"/>
            <w:shd w:val="clear" w:color="auto" w:fill="D9D9D9" w:themeFill="background1" w:themeFillShade="D9"/>
            <w:noWrap/>
            <w:hideMark/>
          </w:tcPr>
          <w:p w14:paraId="17E816A7" w14:textId="77777777" w:rsidR="00967EAA" w:rsidRPr="00967EAA" w:rsidRDefault="00967EAA" w:rsidP="00967EAA">
            <w:pPr>
              <w:spacing w:before="0" w:after="0"/>
            </w:pPr>
            <w:r w:rsidRPr="00967EAA">
              <w:t>100% Accuracy ID Match</w:t>
            </w:r>
          </w:p>
        </w:tc>
        <w:tc>
          <w:tcPr>
            <w:tcW w:w="647" w:type="dxa"/>
          </w:tcPr>
          <w:p w14:paraId="3DB9C99A" w14:textId="77777777" w:rsidR="00967EAA" w:rsidRPr="00967EAA" w:rsidRDefault="00967EAA" w:rsidP="00967EAA">
            <w:pPr>
              <w:spacing w:before="0" w:after="0"/>
            </w:pPr>
            <w:r w:rsidRPr="00967EAA">
              <w:t>A</w:t>
            </w:r>
          </w:p>
        </w:tc>
        <w:tc>
          <w:tcPr>
            <w:tcW w:w="1224" w:type="dxa"/>
            <w:shd w:val="clear" w:color="auto" w:fill="00B050"/>
            <w:noWrap/>
            <w:hideMark/>
          </w:tcPr>
          <w:p w14:paraId="1B77F6FC" w14:textId="77777777" w:rsidR="00967EAA" w:rsidRPr="00967EAA" w:rsidRDefault="00967EAA" w:rsidP="00967EAA">
            <w:pPr>
              <w:spacing w:before="0" w:after="0"/>
              <w:rPr>
                <w:b/>
                <w:bCs/>
              </w:rPr>
            </w:pPr>
            <w:r w:rsidRPr="00967EAA">
              <w:rPr>
                <w:b/>
                <w:bCs/>
              </w:rPr>
              <w:t>Y-1</w:t>
            </w:r>
          </w:p>
        </w:tc>
        <w:tc>
          <w:tcPr>
            <w:tcW w:w="1170" w:type="dxa"/>
            <w:shd w:val="clear" w:color="auto" w:fill="FFFF00"/>
            <w:noWrap/>
            <w:hideMark/>
          </w:tcPr>
          <w:p w14:paraId="644AD372" w14:textId="77777777" w:rsidR="00967EAA" w:rsidRPr="00967EAA" w:rsidRDefault="00967EAA" w:rsidP="00967EAA">
            <w:pPr>
              <w:spacing w:before="0" w:after="0"/>
              <w:rPr>
                <w:b/>
                <w:bCs/>
              </w:rPr>
            </w:pPr>
            <w:r w:rsidRPr="00967EAA">
              <w:rPr>
                <w:b/>
                <w:bCs/>
              </w:rPr>
              <w:t>N/A</w:t>
            </w:r>
          </w:p>
        </w:tc>
        <w:tc>
          <w:tcPr>
            <w:tcW w:w="900" w:type="dxa"/>
            <w:shd w:val="clear" w:color="auto" w:fill="00B050"/>
            <w:noWrap/>
            <w:hideMark/>
          </w:tcPr>
          <w:p w14:paraId="259EBB92" w14:textId="77777777" w:rsidR="00967EAA" w:rsidRPr="00967EAA" w:rsidRDefault="00967EAA" w:rsidP="00967EAA">
            <w:pPr>
              <w:spacing w:before="0" w:after="0"/>
              <w:rPr>
                <w:b/>
                <w:bCs/>
              </w:rPr>
            </w:pPr>
            <w:r w:rsidRPr="00967EAA">
              <w:rPr>
                <w:b/>
                <w:bCs/>
              </w:rPr>
              <w:t>Y - 3</w:t>
            </w:r>
          </w:p>
        </w:tc>
        <w:tc>
          <w:tcPr>
            <w:tcW w:w="1080" w:type="dxa"/>
            <w:shd w:val="clear" w:color="auto" w:fill="00B050"/>
            <w:noWrap/>
            <w:hideMark/>
          </w:tcPr>
          <w:p w14:paraId="558E8CE1" w14:textId="77777777" w:rsidR="00967EAA" w:rsidRPr="00967EAA" w:rsidRDefault="00967EAA" w:rsidP="00967EAA">
            <w:pPr>
              <w:spacing w:before="0" w:after="0"/>
              <w:rPr>
                <w:b/>
                <w:bCs/>
              </w:rPr>
            </w:pPr>
            <w:r w:rsidRPr="00967EAA">
              <w:rPr>
                <w:b/>
                <w:bCs/>
              </w:rPr>
              <w:t>Y-3</w:t>
            </w:r>
          </w:p>
        </w:tc>
        <w:tc>
          <w:tcPr>
            <w:tcW w:w="1475" w:type="dxa"/>
            <w:shd w:val="clear" w:color="auto" w:fill="00B050"/>
            <w:noWrap/>
            <w:hideMark/>
          </w:tcPr>
          <w:p w14:paraId="58BF8075" w14:textId="77777777" w:rsidR="00967EAA" w:rsidRPr="00967EAA" w:rsidRDefault="00967EAA" w:rsidP="00967EAA">
            <w:pPr>
              <w:spacing w:before="0" w:after="0"/>
              <w:rPr>
                <w:b/>
                <w:bCs/>
              </w:rPr>
            </w:pPr>
            <w:r w:rsidRPr="00967EAA">
              <w:rPr>
                <w:b/>
                <w:bCs/>
              </w:rPr>
              <w:t>Y-4</w:t>
            </w:r>
          </w:p>
        </w:tc>
        <w:tc>
          <w:tcPr>
            <w:tcW w:w="1011" w:type="dxa"/>
            <w:shd w:val="clear" w:color="auto" w:fill="FF0000"/>
            <w:noWrap/>
            <w:hideMark/>
          </w:tcPr>
          <w:p w14:paraId="45AFF7D9" w14:textId="77777777" w:rsidR="00967EAA" w:rsidRPr="00967EAA" w:rsidRDefault="00967EAA" w:rsidP="00967EAA">
            <w:pPr>
              <w:spacing w:before="0" w:after="0"/>
              <w:rPr>
                <w:b/>
                <w:bCs/>
              </w:rPr>
            </w:pPr>
            <w:r w:rsidRPr="00967EAA">
              <w:rPr>
                <w:b/>
                <w:bCs/>
              </w:rPr>
              <w:t>N-1</w:t>
            </w:r>
          </w:p>
        </w:tc>
        <w:tc>
          <w:tcPr>
            <w:tcW w:w="797" w:type="dxa"/>
            <w:shd w:val="clear" w:color="auto" w:fill="00B050"/>
            <w:noWrap/>
            <w:hideMark/>
          </w:tcPr>
          <w:p w14:paraId="0AC41687" w14:textId="77777777" w:rsidR="00967EAA" w:rsidRPr="00967EAA" w:rsidRDefault="00967EAA" w:rsidP="00967EAA">
            <w:pPr>
              <w:spacing w:before="0" w:after="0"/>
              <w:rPr>
                <w:b/>
                <w:bCs/>
              </w:rPr>
            </w:pPr>
            <w:r w:rsidRPr="00967EAA">
              <w:rPr>
                <w:b/>
                <w:bCs/>
              </w:rPr>
              <w:t>Y-4</w:t>
            </w:r>
          </w:p>
        </w:tc>
        <w:tc>
          <w:tcPr>
            <w:tcW w:w="3503" w:type="dxa"/>
            <w:hideMark/>
          </w:tcPr>
          <w:p w14:paraId="1FA0F297" w14:textId="77777777" w:rsidR="00967EAA" w:rsidRPr="00967EAA" w:rsidRDefault="00967EAA" w:rsidP="00967EAA">
            <w:pPr>
              <w:spacing w:before="0" w:after="0"/>
            </w:pPr>
            <w:r w:rsidRPr="00967EAA">
              <w:t>Zero allowance for ID mismatches = unknown/unlimited cost?</w:t>
            </w:r>
          </w:p>
        </w:tc>
      </w:tr>
      <w:tr w:rsidR="00967EAA" w:rsidRPr="00967EAA" w14:paraId="0AD3B48E" w14:textId="77777777" w:rsidTr="00B46FDD">
        <w:trPr>
          <w:trHeight w:val="300"/>
        </w:trPr>
        <w:tc>
          <w:tcPr>
            <w:tcW w:w="2408" w:type="dxa"/>
            <w:shd w:val="clear" w:color="auto" w:fill="D9D9D9" w:themeFill="background1" w:themeFillShade="D9"/>
            <w:noWrap/>
            <w:hideMark/>
          </w:tcPr>
          <w:p w14:paraId="6E4EF371" w14:textId="77777777" w:rsidR="00967EAA" w:rsidRPr="00967EAA" w:rsidRDefault="00967EAA" w:rsidP="00967EAA">
            <w:pPr>
              <w:spacing w:before="0" w:after="0"/>
            </w:pPr>
            <w:r w:rsidRPr="00967EAA">
              <w:t>"Break the Glass" policy in effect</w:t>
            </w:r>
          </w:p>
        </w:tc>
        <w:tc>
          <w:tcPr>
            <w:tcW w:w="647" w:type="dxa"/>
          </w:tcPr>
          <w:p w14:paraId="65DE22C5" w14:textId="77777777" w:rsidR="00967EAA" w:rsidRPr="00967EAA" w:rsidRDefault="00967EAA" w:rsidP="00967EAA">
            <w:pPr>
              <w:spacing w:before="0" w:after="0"/>
            </w:pPr>
            <w:r w:rsidRPr="00967EAA">
              <w:t>B</w:t>
            </w:r>
          </w:p>
        </w:tc>
        <w:tc>
          <w:tcPr>
            <w:tcW w:w="1224" w:type="dxa"/>
            <w:shd w:val="clear" w:color="auto" w:fill="FF0000"/>
            <w:noWrap/>
            <w:hideMark/>
          </w:tcPr>
          <w:p w14:paraId="15E8CEFD" w14:textId="77777777" w:rsidR="00967EAA" w:rsidRPr="00967EAA" w:rsidRDefault="00967EAA" w:rsidP="00967EAA">
            <w:pPr>
              <w:spacing w:before="0" w:after="0"/>
              <w:rPr>
                <w:b/>
                <w:bCs/>
              </w:rPr>
            </w:pPr>
            <w:r w:rsidRPr="00967EAA">
              <w:rPr>
                <w:b/>
                <w:bCs/>
              </w:rPr>
              <w:t>N-1</w:t>
            </w:r>
          </w:p>
        </w:tc>
        <w:tc>
          <w:tcPr>
            <w:tcW w:w="1170" w:type="dxa"/>
            <w:shd w:val="clear" w:color="auto" w:fill="FF0000"/>
            <w:noWrap/>
            <w:hideMark/>
          </w:tcPr>
          <w:p w14:paraId="1F597736" w14:textId="77777777" w:rsidR="00967EAA" w:rsidRPr="00967EAA" w:rsidRDefault="00967EAA" w:rsidP="00967EAA">
            <w:pPr>
              <w:spacing w:before="0" w:after="0"/>
              <w:rPr>
                <w:b/>
                <w:bCs/>
              </w:rPr>
            </w:pPr>
            <w:r w:rsidRPr="00967EAA">
              <w:rPr>
                <w:b/>
                <w:bCs/>
              </w:rPr>
              <w:t>N-1</w:t>
            </w:r>
          </w:p>
        </w:tc>
        <w:tc>
          <w:tcPr>
            <w:tcW w:w="900" w:type="dxa"/>
            <w:shd w:val="clear" w:color="auto" w:fill="FFFF00"/>
            <w:noWrap/>
            <w:hideMark/>
          </w:tcPr>
          <w:p w14:paraId="463F080A" w14:textId="77777777" w:rsidR="00967EAA" w:rsidRPr="00967EAA" w:rsidRDefault="00967EAA" w:rsidP="00967EAA">
            <w:pPr>
              <w:spacing w:before="0" w:after="0"/>
              <w:rPr>
                <w:b/>
                <w:bCs/>
              </w:rPr>
            </w:pPr>
            <w:r w:rsidRPr="00967EAA">
              <w:rPr>
                <w:b/>
                <w:bCs/>
              </w:rPr>
              <w:t>N/A</w:t>
            </w:r>
          </w:p>
        </w:tc>
        <w:tc>
          <w:tcPr>
            <w:tcW w:w="1080" w:type="dxa"/>
            <w:shd w:val="clear" w:color="auto" w:fill="FFFF00"/>
            <w:noWrap/>
            <w:hideMark/>
          </w:tcPr>
          <w:p w14:paraId="7B245506" w14:textId="77777777" w:rsidR="00967EAA" w:rsidRPr="00967EAA" w:rsidRDefault="00967EAA" w:rsidP="00967EAA">
            <w:pPr>
              <w:spacing w:before="0" w:after="0"/>
              <w:rPr>
                <w:b/>
                <w:bCs/>
              </w:rPr>
            </w:pPr>
            <w:r w:rsidRPr="00967EAA">
              <w:rPr>
                <w:b/>
                <w:bCs/>
              </w:rPr>
              <w:t>N/A</w:t>
            </w:r>
          </w:p>
        </w:tc>
        <w:tc>
          <w:tcPr>
            <w:tcW w:w="1475" w:type="dxa"/>
            <w:shd w:val="clear" w:color="auto" w:fill="FFFF00"/>
            <w:noWrap/>
            <w:hideMark/>
          </w:tcPr>
          <w:p w14:paraId="3BDECEE0" w14:textId="77777777" w:rsidR="00967EAA" w:rsidRPr="00967EAA" w:rsidRDefault="00967EAA" w:rsidP="00967EAA">
            <w:pPr>
              <w:spacing w:before="0" w:after="0"/>
              <w:rPr>
                <w:b/>
                <w:bCs/>
              </w:rPr>
            </w:pPr>
            <w:r w:rsidRPr="00967EAA">
              <w:rPr>
                <w:b/>
                <w:bCs/>
              </w:rPr>
              <w:t>N/A</w:t>
            </w:r>
          </w:p>
        </w:tc>
        <w:tc>
          <w:tcPr>
            <w:tcW w:w="1011" w:type="dxa"/>
            <w:shd w:val="clear" w:color="auto" w:fill="FFFF00"/>
            <w:noWrap/>
            <w:hideMark/>
          </w:tcPr>
          <w:p w14:paraId="6DB33F6A" w14:textId="77777777" w:rsidR="00967EAA" w:rsidRPr="00967EAA" w:rsidRDefault="00967EAA" w:rsidP="00967EAA">
            <w:pPr>
              <w:spacing w:before="0" w:after="0"/>
              <w:rPr>
                <w:b/>
                <w:bCs/>
              </w:rPr>
            </w:pPr>
            <w:r w:rsidRPr="00967EAA">
              <w:rPr>
                <w:b/>
                <w:bCs/>
              </w:rPr>
              <w:t>N/A</w:t>
            </w:r>
          </w:p>
        </w:tc>
        <w:tc>
          <w:tcPr>
            <w:tcW w:w="797" w:type="dxa"/>
            <w:shd w:val="clear" w:color="auto" w:fill="00B050"/>
            <w:noWrap/>
            <w:hideMark/>
          </w:tcPr>
          <w:p w14:paraId="1094AFC2" w14:textId="77777777" w:rsidR="00967EAA" w:rsidRPr="00967EAA" w:rsidRDefault="00967EAA" w:rsidP="00967EAA">
            <w:pPr>
              <w:spacing w:before="0" w:after="0"/>
              <w:rPr>
                <w:b/>
                <w:bCs/>
              </w:rPr>
            </w:pPr>
            <w:r w:rsidRPr="00967EAA">
              <w:rPr>
                <w:b/>
                <w:bCs/>
              </w:rPr>
              <w:t>Y -2</w:t>
            </w:r>
          </w:p>
        </w:tc>
        <w:tc>
          <w:tcPr>
            <w:tcW w:w="3503" w:type="dxa"/>
            <w:hideMark/>
          </w:tcPr>
          <w:p w14:paraId="33276ED5" w14:textId="77777777" w:rsidR="00967EAA" w:rsidRPr="00967EAA" w:rsidRDefault="00967EAA" w:rsidP="00967EAA">
            <w:pPr>
              <w:spacing w:before="0" w:after="0"/>
            </w:pPr>
            <w:r w:rsidRPr="00967EAA">
              <w:t>Access PHI in emergency without express consent</w:t>
            </w:r>
          </w:p>
        </w:tc>
      </w:tr>
      <w:tr w:rsidR="00967EAA" w:rsidRPr="00967EAA" w14:paraId="3F2F0535" w14:textId="77777777" w:rsidTr="00B46FDD">
        <w:trPr>
          <w:trHeight w:val="285"/>
        </w:trPr>
        <w:tc>
          <w:tcPr>
            <w:tcW w:w="2408" w:type="dxa"/>
            <w:shd w:val="clear" w:color="auto" w:fill="D9D9D9" w:themeFill="background1" w:themeFillShade="D9"/>
            <w:noWrap/>
            <w:hideMark/>
          </w:tcPr>
          <w:p w14:paraId="76C25086" w14:textId="77777777" w:rsidR="00967EAA" w:rsidRPr="00967EAA" w:rsidRDefault="00967EAA" w:rsidP="00967EAA">
            <w:pPr>
              <w:spacing w:before="0" w:after="0"/>
            </w:pPr>
            <w:r w:rsidRPr="00967EAA">
              <w:t>Relative Anonymity/Pseudonyms allowed</w:t>
            </w:r>
          </w:p>
        </w:tc>
        <w:tc>
          <w:tcPr>
            <w:tcW w:w="647" w:type="dxa"/>
          </w:tcPr>
          <w:p w14:paraId="17981394" w14:textId="77777777" w:rsidR="00967EAA" w:rsidRPr="00967EAA" w:rsidRDefault="00967EAA" w:rsidP="00967EAA">
            <w:pPr>
              <w:spacing w:before="0" w:after="0"/>
            </w:pPr>
            <w:r w:rsidRPr="00967EAA">
              <w:t>C</w:t>
            </w:r>
          </w:p>
        </w:tc>
        <w:tc>
          <w:tcPr>
            <w:tcW w:w="1224" w:type="dxa"/>
            <w:shd w:val="clear" w:color="auto" w:fill="00B050"/>
            <w:noWrap/>
            <w:hideMark/>
          </w:tcPr>
          <w:p w14:paraId="4033C1A6" w14:textId="77777777" w:rsidR="00967EAA" w:rsidRPr="00967EAA" w:rsidRDefault="00967EAA" w:rsidP="00967EAA">
            <w:pPr>
              <w:spacing w:before="0" w:after="0"/>
              <w:rPr>
                <w:b/>
                <w:bCs/>
              </w:rPr>
            </w:pPr>
            <w:r w:rsidRPr="00967EAA">
              <w:rPr>
                <w:b/>
                <w:bCs/>
              </w:rPr>
              <w:t>Y - 5</w:t>
            </w:r>
          </w:p>
        </w:tc>
        <w:tc>
          <w:tcPr>
            <w:tcW w:w="1170" w:type="dxa"/>
            <w:shd w:val="clear" w:color="auto" w:fill="00B050"/>
            <w:noWrap/>
            <w:hideMark/>
          </w:tcPr>
          <w:p w14:paraId="1C98CF94" w14:textId="77777777" w:rsidR="00967EAA" w:rsidRPr="00967EAA" w:rsidRDefault="00967EAA" w:rsidP="00967EAA">
            <w:pPr>
              <w:spacing w:before="0" w:after="0"/>
              <w:rPr>
                <w:b/>
                <w:bCs/>
              </w:rPr>
            </w:pPr>
            <w:r w:rsidRPr="00967EAA">
              <w:rPr>
                <w:b/>
                <w:bCs/>
              </w:rPr>
              <w:t>Y - 5</w:t>
            </w:r>
          </w:p>
        </w:tc>
        <w:tc>
          <w:tcPr>
            <w:tcW w:w="900" w:type="dxa"/>
            <w:shd w:val="clear" w:color="auto" w:fill="FF0000"/>
            <w:noWrap/>
            <w:hideMark/>
          </w:tcPr>
          <w:p w14:paraId="2D60252D" w14:textId="77777777" w:rsidR="00967EAA" w:rsidRPr="00967EAA" w:rsidRDefault="00967EAA" w:rsidP="00967EAA">
            <w:pPr>
              <w:spacing w:before="0" w:after="0"/>
              <w:rPr>
                <w:b/>
                <w:bCs/>
              </w:rPr>
            </w:pPr>
            <w:r w:rsidRPr="00967EAA">
              <w:rPr>
                <w:b/>
                <w:bCs/>
              </w:rPr>
              <w:t>N-1</w:t>
            </w:r>
          </w:p>
        </w:tc>
        <w:tc>
          <w:tcPr>
            <w:tcW w:w="1080" w:type="dxa"/>
            <w:shd w:val="clear" w:color="auto" w:fill="FFFF00"/>
            <w:noWrap/>
            <w:hideMark/>
          </w:tcPr>
          <w:p w14:paraId="5C7F02F7" w14:textId="77777777" w:rsidR="00967EAA" w:rsidRPr="00967EAA" w:rsidRDefault="00967EAA" w:rsidP="00967EAA">
            <w:pPr>
              <w:spacing w:before="0" w:after="0"/>
              <w:rPr>
                <w:b/>
                <w:bCs/>
              </w:rPr>
            </w:pPr>
            <w:r w:rsidRPr="00967EAA">
              <w:rPr>
                <w:b/>
                <w:bCs/>
              </w:rPr>
              <w:t>N/A</w:t>
            </w:r>
          </w:p>
        </w:tc>
        <w:tc>
          <w:tcPr>
            <w:tcW w:w="1475" w:type="dxa"/>
            <w:shd w:val="clear" w:color="auto" w:fill="FF0000"/>
            <w:noWrap/>
            <w:hideMark/>
          </w:tcPr>
          <w:p w14:paraId="0FA1B2D9" w14:textId="77777777" w:rsidR="00967EAA" w:rsidRPr="00967EAA" w:rsidRDefault="00967EAA" w:rsidP="00967EAA">
            <w:pPr>
              <w:spacing w:before="0" w:after="0"/>
              <w:rPr>
                <w:b/>
                <w:bCs/>
              </w:rPr>
            </w:pPr>
            <w:r w:rsidRPr="00967EAA">
              <w:rPr>
                <w:b/>
                <w:bCs/>
              </w:rPr>
              <w:t>N-2</w:t>
            </w:r>
          </w:p>
        </w:tc>
        <w:tc>
          <w:tcPr>
            <w:tcW w:w="1011" w:type="dxa"/>
            <w:shd w:val="clear" w:color="auto" w:fill="FF0000"/>
            <w:noWrap/>
            <w:hideMark/>
          </w:tcPr>
          <w:p w14:paraId="4956DEA3" w14:textId="77777777" w:rsidR="00967EAA" w:rsidRPr="00967EAA" w:rsidRDefault="00967EAA" w:rsidP="00967EAA">
            <w:pPr>
              <w:spacing w:before="0" w:after="0"/>
              <w:rPr>
                <w:b/>
                <w:bCs/>
              </w:rPr>
            </w:pPr>
            <w:r w:rsidRPr="00967EAA">
              <w:rPr>
                <w:b/>
                <w:bCs/>
              </w:rPr>
              <w:t>N-1</w:t>
            </w:r>
          </w:p>
        </w:tc>
        <w:tc>
          <w:tcPr>
            <w:tcW w:w="797" w:type="dxa"/>
            <w:shd w:val="clear" w:color="auto" w:fill="00B050"/>
            <w:noWrap/>
            <w:hideMark/>
          </w:tcPr>
          <w:p w14:paraId="24A7E8B6" w14:textId="77777777" w:rsidR="00967EAA" w:rsidRPr="00967EAA" w:rsidRDefault="00967EAA" w:rsidP="00967EAA">
            <w:pPr>
              <w:spacing w:before="0" w:after="0"/>
              <w:rPr>
                <w:b/>
                <w:bCs/>
              </w:rPr>
            </w:pPr>
            <w:r w:rsidRPr="00967EAA">
              <w:rPr>
                <w:b/>
                <w:bCs/>
              </w:rPr>
              <w:t>Y-3</w:t>
            </w:r>
          </w:p>
        </w:tc>
        <w:tc>
          <w:tcPr>
            <w:tcW w:w="3503" w:type="dxa"/>
            <w:hideMark/>
          </w:tcPr>
          <w:p w14:paraId="58974B42" w14:textId="77777777" w:rsidR="00967EAA" w:rsidRPr="00967EAA" w:rsidRDefault="00967EAA" w:rsidP="00967EAA">
            <w:pPr>
              <w:spacing w:before="0" w:after="0"/>
            </w:pPr>
            <w:r w:rsidRPr="00967EAA">
              <w:t>Dependent on the Relying Party policies and the nature of the transaction</w:t>
            </w:r>
          </w:p>
        </w:tc>
      </w:tr>
      <w:tr w:rsidR="00967EAA" w:rsidRPr="00967EAA" w14:paraId="651E3B75" w14:textId="77777777" w:rsidTr="00B46FDD">
        <w:trPr>
          <w:trHeight w:val="300"/>
        </w:trPr>
        <w:tc>
          <w:tcPr>
            <w:tcW w:w="2408" w:type="dxa"/>
            <w:shd w:val="clear" w:color="auto" w:fill="D9D9D9" w:themeFill="background1" w:themeFillShade="D9"/>
            <w:noWrap/>
            <w:hideMark/>
          </w:tcPr>
          <w:p w14:paraId="09E7A11E" w14:textId="77777777" w:rsidR="00967EAA" w:rsidRPr="00967EAA" w:rsidRDefault="00967EAA" w:rsidP="00967EAA">
            <w:pPr>
              <w:spacing w:before="0" w:after="0"/>
            </w:pPr>
            <w:r w:rsidRPr="00967EAA">
              <w:t>Robust Audit Trails / Precise Time Stamp</w:t>
            </w:r>
          </w:p>
        </w:tc>
        <w:tc>
          <w:tcPr>
            <w:tcW w:w="647" w:type="dxa"/>
          </w:tcPr>
          <w:p w14:paraId="161CADBB" w14:textId="77777777" w:rsidR="00967EAA" w:rsidRPr="00967EAA" w:rsidRDefault="00967EAA" w:rsidP="00967EAA">
            <w:pPr>
              <w:spacing w:before="0" w:after="0"/>
            </w:pPr>
            <w:r w:rsidRPr="00967EAA">
              <w:t>D</w:t>
            </w:r>
          </w:p>
        </w:tc>
        <w:tc>
          <w:tcPr>
            <w:tcW w:w="1224" w:type="dxa"/>
            <w:shd w:val="clear" w:color="auto" w:fill="00B050"/>
            <w:noWrap/>
            <w:hideMark/>
          </w:tcPr>
          <w:p w14:paraId="65418A64" w14:textId="77777777" w:rsidR="00967EAA" w:rsidRPr="00967EAA" w:rsidRDefault="00967EAA" w:rsidP="00967EAA">
            <w:pPr>
              <w:spacing w:before="0" w:after="0"/>
              <w:rPr>
                <w:b/>
                <w:bCs/>
              </w:rPr>
            </w:pPr>
            <w:r w:rsidRPr="00967EAA">
              <w:rPr>
                <w:b/>
                <w:bCs/>
              </w:rPr>
              <w:t>Y - 3</w:t>
            </w:r>
          </w:p>
        </w:tc>
        <w:tc>
          <w:tcPr>
            <w:tcW w:w="1170" w:type="dxa"/>
            <w:shd w:val="clear" w:color="auto" w:fill="FF0000"/>
            <w:noWrap/>
            <w:hideMark/>
          </w:tcPr>
          <w:p w14:paraId="1E6705A8" w14:textId="77777777" w:rsidR="00967EAA" w:rsidRPr="00967EAA" w:rsidRDefault="00967EAA" w:rsidP="00967EAA">
            <w:pPr>
              <w:spacing w:before="0" w:after="0"/>
              <w:rPr>
                <w:b/>
                <w:bCs/>
              </w:rPr>
            </w:pPr>
            <w:r w:rsidRPr="00967EAA">
              <w:rPr>
                <w:b/>
                <w:bCs/>
              </w:rPr>
              <w:t>N-1</w:t>
            </w:r>
          </w:p>
        </w:tc>
        <w:tc>
          <w:tcPr>
            <w:tcW w:w="900" w:type="dxa"/>
            <w:shd w:val="clear" w:color="auto" w:fill="00B050"/>
            <w:noWrap/>
            <w:hideMark/>
          </w:tcPr>
          <w:p w14:paraId="7150C403" w14:textId="77777777" w:rsidR="00967EAA" w:rsidRPr="00967EAA" w:rsidRDefault="00967EAA" w:rsidP="00967EAA">
            <w:pPr>
              <w:spacing w:before="0" w:after="0"/>
              <w:rPr>
                <w:b/>
                <w:bCs/>
              </w:rPr>
            </w:pPr>
            <w:r w:rsidRPr="00967EAA">
              <w:rPr>
                <w:b/>
                <w:bCs/>
              </w:rPr>
              <w:t>Y-5</w:t>
            </w:r>
          </w:p>
        </w:tc>
        <w:tc>
          <w:tcPr>
            <w:tcW w:w="1080" w:type="dxa"/>
            <w:shd w:val="clear" w:color="auto" w:fill="00B050"/>
            <w:noWrap/>
            <w:hideMark/>
          </w:tcPr>
          <w:p w14:paraId="427C99F5" w14:textId="77777777" w:rsidR="00967EAA" w:rsidRPr="00967EAA" w:rsidRDefault="00967EAA" w:rsidP="00967EAA">
            <w:pPr>
              <w:spacing w:before="0" w:after="0"/>
              <w:rPr>
                <w:b/>
                <w:bCs/>
              </w:rPr>
            </w:pPr>
            <w:r w:rsidRPr="00967EAA">
              <w:rPr>
                <w:b/>
                <w:bCs/>
              </w:rPr>
              <w:t>Y-1</w:t>
            </w:r>
          </w:p>
        </w:tc>
        <w:tc>
          <w:tcPr>
            <w:tcW w:w="1475" w:type="dxa"/>
            <w:shd w:val="clear" w:color="auto" w:fill="00B050"/>
            <w:noWrap/>
            <w:hideMark/>
          </w:tcPr>
          <w:p w14:paraId="412B1103" w14:textId="77777777" w:rsidR="00967EAA" w:rsidRPr="00967EAA" w:rsidRDefault="00967EAA" w:rsidP="00967EAA">
            <w:pPr>
              <w:spacing w:before="0" w:after="0"/>
              <w:rPr>
                <w:b/>
                <w:bCs/>
              </w:rPr>
            </w:pPr>
            <w:r w:rsidRPr="00967EAA">
              <w:rPr>
                <w:b/>
                <w:bCs/>
              </w:rPr>
              <w:t>Y - 1</w:t>
            </w:r>
          </w:p>
        </w:tc>
        <w:tc>
          <w:tcPr>
            <w:tcW w:w="1011" w:type="dxa"/>
            <w:shd w:val="clear" w:color="auto" w:fill="FFFF00"/>
            <w:noWrap/>
            <w:hideMark/>
          </w:tcPr>
          <w:p w14:paraId="2C388518" w14:textId="77777777" w:rsidR="00967EAA" w:rsidRPr="00967EAA" w:rsidRDefault="00967EAA" w:rsidP="00967EAA">
            <w:pPr>
              <w:spacing w:before="0" w:after="0"/>
              <w:rPr>
                <w:b/>
                <w:bCs/>
              </w:rPr>
            </w:pPr>
            <w:r w:rsidRPr="00967EAA">
              <w:rPr>
                <w:b/>
                <w:bCs/>
              </w:rPr>
              <w:t>N/A</w:t>
            </w:r>
          </w:p>
        </w:tc>
        <w:tc>
          <w:tcPr>
            <w:tcW w:w="797" w:type="dxa"/>
            <w:shd w:val="clear" w:color="auto" w:fill="00B050"/>
            <w:noWrap/>
            <w:hideMark/>
          </w:tcPr>
          <w:p w14:paraId="0F56BDDE" w14:textId="77777777" w:rsidR="00967EAA" w:rsidRPr="00967EAA" w:rsidRDefault="00967EAA" w:rsidP="00967EAA">
            <w:pPr>
              <w:spacing w:before="0" w:after="0"/>
              <w:rPr>
                <w:b/>
                <w:bCs/>
              </w:rPr>
            </w:pPr>
            <w:r w:rsidRPr="00967EAA">
              <w:rPr>
                <w:b/>
                <w:bCs/>
              </w:rPr>
              <w:t>Y-2</w:t>
            </w:r>
          </w:p>
        </w:tc>
        <w:tc>
          <w:tcPr>
            <w:tcW w:w="3503" w:type="dxa"/>
            <w:hideMark/>
          </w:tcPr>
          <w:p w14:paraId="0DBEA074" w14:textId="77777777" w:rsidR="00967EAA" w:rsidRPr="00967EAA" w:rsidRDefault="00967EAA" w:rsidP="00967EAA">
            <w:pPr>
              <w:spacing w:before="0" w:after="0"/>
            </w:pPr>
            <w:r w:rsidRPr="00967EAA">
              <w:t>Accountability, QA/QI. But easy for whom--Auditor/Security vs. end user provider/patient?</w:t>
            </w:r>
          </w:p>
        </w:tc>
      </w:tr>
      <w:tr w:rsidR="00967EAA" w:rsidRPr="00967EAA" w14:paraId="6D1E1DD2" w14:textId="77777777" w:rsidTr="00B46FDD">
        <w:trPr>
          <w:trHeight w:val="285"/>
        </w:trPr>
        <w:tc>
          <w:tcPr>
            <w:tcW w:w="2408" w:type="dxa"/>
            <w:shd w:val="clear" w:color="auto" w:fill="D9D9D9" w:themeFill="background1" w:themeFillShade="D9"/>
            <w:noWrap/>
            <w:hideMark/>
          </w:tcPr>
          <w:p w14:paraId="53DBF5FB" w14:textId="77777777" w:rsidR="00967EAA" w:rsidRPr="00967EAA" w:rsidRDefault="00967EAA" w:rsidP="00967EAA">
            <w:pPr>
              <w:spacing w:before="0" w:after="0"/>
            </w:pPr>
            <w:r w:rsidRPr="00967EAA">
              <w:t>Patient Safety/ Liability concerns</w:t>
            </w:r>
          </w:p>
        </w:tc>
        <w:tc>
          <w:tcPr>
            <w:tcW w:w="647" w:type="dxa"/>
          </w:tcPr>
          <w:p w14:paraId="38788F67" w14:textId="77777777" w:rsidR="00967EAA" w:rsidRPr="00967EAA" w:rsidRDefault="00967EAA" w:rsidP="00967EAA">
            <w:pPr>
              <w:spacing w:before="0" w:after="0"/>
            </w:pPr>
            <w:r w:rsidRPr="00967EAA">
              <w:t>E</w:t>
            </w:r>
          </w:p>
        </w:tc>
        <w:tc>
          <w:tcPr>
            <w:tcW w:w="1224" w:type="dxa"/>
            <w:shd w:val="clear" w:color="auto" w:fill="00B050"/>
            <w:noWrap/>
            <w:hideMark/>
          </w:tcPr>
          <w:p w14:paraId="04222781" w14:textId="77777777" w:rsidR="00967EAA" w:rsidRPr="00967EAA" w:rsidRDefault="00967EAA" w:rsidP="00967EAA">
            <w:pPr>
              <w:spacing w:before="0" w:after="0"/>
              <w:rPr>
                <w:b/>
                <w:bCs/>
              </w:rPr>
            </w:pPr>
            <w:r w:rsidRPr="00967EAA">
              <w:rPr>
                <w:b/>
                <w:bCs/>
              </w:rPr>
              <w:t>Y - 3</w:t>
            </w:r>
          </w:p>
        </w:tc>
        <w:tc>
          <w:tcPr>
            <w:tcW w:w="1170" w:type="dxa"/>
            <w:shd w:val="clear" w:color="auto" w:fill="00B050"/>
            <w:noWrap/>
            <w:hideMark/>
          </w:tcPr>
          <w:p w14:paraId="2D524579" w14:textId="77777777" w:rsidR="00967EAA" w:rsidRPr="00967EAA" w:rsidRDefault="00967EAA" w:rsidP="00967EAA">
            <w:pPr>
              <w:spacing w:before="0" w:after="0"/>
              <w:rPr>
                <w:b/>
                <w:bCs/>
              </w:rPr>
            </w:pPr>
            <w:r w:rsidRPr="00967EAA">
              <w:rPr>
                <w:b/>
                <w:bCs/>
              </w:rPr>
              <w:t>Y-1</w:t>
            </w:r>
          </w:p>
        </w:tc>
        <w:tc>
          <w:tcPr>
            <w:tcW w:w="900" w:type="dxa"/>
            <w:shd w:val="clear" w:color="auto" w:fill="00B050"/>
            <w:noWrap/>
            <w:hideMark/>
          </w:tcPr>
          <w:p w14:paraId="484002FB" w14:textId="77777777" w:rsidR="00967EAA" w:rsidRPr="00967EAA" w:rsidRDefault="00967EAA" w:rsidP="00967EAA">
            <w:pPr>
              <w:spacing w:before="0" w:after="0"/>
              <w:rPr>
                <w:b/>
                <w:bCs/>
              </w:rPr>
            </w:pPr>
            <w:r w:rsidRPr="00967EAA">
              <w:rPr>
                <w:b/>
                <w:bCs/>
              </w:rPr>
              <w:t>Y - 3</w:t>
            </w:r>
          </w:p>
        </w:tc>
        <w:tc>
          <w:tcPr>
            <w:tcW w:w="1080" w:type="dxa"/>
            <w:shd w:val="clear" w:color="auto" w:fill="00B050"/>
            <w:noWrap/>
            <w:hideMark/>
          </w:tcPr>
          <w:p w14:paraId="5ABF30B9" w14:textId="77777777" w:rsidR="00967EAA" w:rsidRPr="00967EAA" w:rsidRDefault="00967EAA" w:rsidP="00967EAA">
            <w:pPr>
              <w:spacing w:before="0" w:after="0"/>
              <w:rPr>
                <w:b/>
                <w:bCs/>
              </w:rPr>
            </w:pPr>
            <w:r w:rsidRPr="00967EAA">
              <w:rPr>
                <w:b/>
                <w:bCs/>
              </w:rPr>
              <w:t>Y-4</w:t>
            </w:r>
          </w:p>
        </w:tc>
        <w:tc>
          <w:tcPr>
            <w:tcW w:w="1475" w:type="dxa"/>
            <w:shd w:val="clear" w:color="auto" w:fill="FFFF00"/>
            <w:noWrap/>
            <w:hideMark/>
          </w:tcPr>
          <w:p w14:paraId="73BD055E" w14:textId="77777777" w:rsidR="00967EAA" w:rsidRPr="00967EAA" w:rsidRDefault="00967EAA" w:rsidP="00967EAA">
            <w:pPr>
              <w:spacing w:before="0" w:after="0"/>
              <w:rPr>
                <w:b/>
                <w:bCs/>
              </w:rPr>
            </w:pPr>
            <w:r w:rsidRPr="00967EAA">
              <w:rPr>
                <w:b/>
                <w:bCs/>
              </w:rPr>
              <w:t>N/A</w:t>
            </w:r>
          </w:p>
        </w:tc>
        <w:tc>
          <w:tcPr>
            <w:tcW w:w="1011" w:type="dxa"/>
            <w:shd w:val="clear" w:color="auto" w:fill="00B050"/>
            <w:noWrap/>
            <w:hideMark/>
          </w:tcPr>
          <w:p w14:paraId="3583D106" w14:textId="77777777" w:rsidR="00967EAA" w:rsidRPr="00967EAA" w:rsidRDefault="00967EAA" w:rsidP="00967EAA">
            <w:pPr>
              <w:spacing w:before="0" w:after="0"/>
              <w:rPr>
                <w:b/>
                <w:bCs/>
              </w:rPr>
            </w:pPr>
            <w:r w:rsidRPr="00967EAA">
              <w:rPr>
                <w:b/>
                <w:bCs/>
              </w:rPr>
              <w:t>Y-1</w:t>
            </w:r>
          </w:p>
        </w:tc>
        <w:tc>
          <w:tcPr>
            <w:tcW w:w="797" w:type="dxa"/>
            <w:shd w:val="clear" w:color="auto" w:fill="FFFF00"/>
            <w:noWrap/>
            <w:hideMark/>
          </w:tcPr>
          <w:p w14:paraId="1CF69FFC" w14:textId="77777777" w:rsidR="00967EAA" w:rsidRPr="00967EAA" w:rsidRDefault="00967EAA" w:rsidP="00967EAA">
            <w:pPr>
              <w:spacing w:before="0" w:after="0"/>
              <w:rPr>
                <w:b/>
                <w:bCs/>
              </w:rPr>
            </w:pPr>
            <w:r w:rsidRPr="00967EAA">
              <w:rPr>
                <w:b/>
                <w:bCs/>
              </w:rPr>
              <w:t>N/A</w:t>
            </w:r>
          </w:p>
        </w:tc>
        <w:tc>
          <w:tcPr>
            <w:tcW w:w="3503" w:type="dxa"/>
            <w:hideMark/>
          </w:tcPr>
          <w:p w14:paraId="3C6440FE" w14:textId="77777777" w:rsidR="00967EAA" w:rsidRPr="00967EAA" w:rsidRDefault="00967EAA" w:rsidP="00967EAA">
            <w:pPr>
              <w:spacing w:before="0" w:after="0"/>
            </w:pPr>
            <w:r w:rsidRPr="00967EAA">
              <w:t>Mismatched ID, poor design lead to serious errors and liability</w:t>
            </w:r>
          </w:p>
        </w:tc>
      </w:tr>
      <w:tr w:rsidR="00967EAA" w:rsidRPr="00967EAA" w14:paraId="7CA86FE2" w14:textId="77777777" w:rsidTr="00B46FDD">
        <w:trPr>
          <w:trHeight w:val="300"/>
        </w:trPr>
        <w:tc>
          <w:tcPr>
            <w:tcW w:w="2408" w:type="dxa"/>
            <w:shd w:val="clear" w:color="auto" w:fill="D9D9D9" w:themeFill="background1" w:themeFillShade="D9"/>
            <w:noWrap/>
            <w:hideMark/>
          </w:tcPr>
          <w:p w14:paraId="376B016B" w14:textId="77777777" w:rsidR="00967EAA" w:rsidRPr="00967EAA" w:rsidRDefault="00967EAA" w:rsidP="00967EAA">
            <w:pPr>
              <w:spacing w:before="0" w:after="0"/>
            </w:pPr>
            <w:r w:rsidRPr="00967EAA">
              <w:t xml:space="preserve">Delegate proxy (access) easily </w:t>
            </w:r>
          </w:p>
        </w:tc>
        <w:tc>
          <w:tcPr>
            <w:tcW w:w="647" w:type="dxa"/>
          </w:tcPr>
          <w:p w14:paraId="1F2230BA" w14:textId="77777777" w:rsidR="00967EAA" w:rsidRPr="00967EAA" w:rsidRDefault="00967EAA" w:rsidP="00967EAA">
            <w:pPr>
              <w:spacing w:before="0" w:after="0"/>
            </w:pPr>
            <w:r w:rsidRPr="00967EAA">
              <w:t>F</w:t>
            </w:r>
          </w:p>
        </w:tc>
        <w:tc>
          <w:tcPr>
            <w:tcW w:w="1224" w:type="dxa"/>
            <w:shd w:val="clear" w:color="auto" w:fill="00B050"/>
            <w:noWrap/>
            <w:hideMark/>
          </w:tcPr>
          <w:p w14:paraId="7DB414A7" w14:textId="77777777" w:rsidR="00967EAA" w:rsidRPr="00967EAA" w:rsidRDefault="00967EAA" w:rsidP="00967EAA">
            <w:pPr>
              <w:spacing w:before="0" w:after="0"/>
              <w:rPr>
                <w:b/>
                <w:bCs/>
              </w:rPr>
            </w:pPr>
            <w:r w:rsidRPr="00967EAA">
              <w:rPr>
                <w:b/>
                <w:bCs/>
              </w:rPr>
              <w:t>Y - 2</w:t>
            </w:r>
          </w:p>
        </w:tc>
        <w:tc>
          <w:tcPr>
            <w:tcW w:w="1170" w:type="dxa"/>
            <w:shd w:val="clear" w:color="auto" w:fill="00B050"/>
            <w:noWrap/>
            <w:hideMark/>
          </w:tcPr>
          <w:p w14:paraId="008936A5" w14:textId="77777777" w:rsidR="00967EAA" w:rsidRPr="00967EAA" w:rsidRDefault="00967EAA" w:rsidP="00967EAA">
            <w:pPr>
              <w:spacing w:before="0" w:after="0"/>
              <w:rPr>
                <w:b/>
                <w:bCs/>
              </w:rPr>
            </w:pPr>
            <w:r w:rsidRPr="00967EAA">
              <w:rPr>
                <w:b/>
                <w:bCs/>
              </w:rPr>
              <w:t>Y-3</w:t>
            </w:r>
          </w:p>
        </w:tc>
        <w:tc>
          <w:tcPr>
            <w:tcW w:w="900" w:type="dxa"/>
            <w:shd w:val="clear" w:color="auto" w:fill="00B050"/>
            <w:noWrap/>
            <w:hideMark/>
          </w:tcPr>
          <w:p w14:paraId="2B0201AE" w14:textId="77777777" w:rsidR="00967EAA" w:rsidRPr="00967EAA" w:rsidRDefault="00967EAA" w:rsidP="00967EAA">
            <w:pPr>
              <w:spacing w:before="0" w:after="0"/>
              <w:rPr>
                <w:b/>
                <w:bCs/>
              </w:rPr>
            </w:pPr>
            <w:r w:rsidRPr="00967EAA">
              <w:rPr>
                <w:b/>
                <w:bCs/>
              </w:rPr>
              <w:t>Y-2</w:t>
            </w:r>
          </w:p>
        </w:tc>
        <w:tc>
          <w:tcPr>
            <w:tcW w:w="1080" w:type="dxa"/>
            <w:shd w:val="clear" w:color="auto" w:fill="00B050"/>
            <w:noWrap/>
            <w:hideMark/>
          </w:tcPr>
          <w:p w14:paraId="07072A5C" w14:textId="77777777" w:rsidR="00967EAA" w:rsidRPr="00967EAA" w:rsidRDefault="00967EAA" w:rsidP="00967EAA">
            <w:pPr>
              <w:spacing w:before="0" w:after="0"/>
              <w:rPr>
                <w:b/>
                <w:bCs/>
              </w:rPr>
            </w:pPr>
            <w:r w:rsidRPr="00967EAA">
              <w:rPr>
                <w:b/>
                <w:bCs/>
              </w:rPr>
              <w:t>Y - 3</w:t>
            </w:r>
          </w:p>
        </w:tc>
        <w:tc>
          <w:tcPr>
            <w:tcW w:w="1475" w:type="dxa"/>
            <w:shd w:val="clear" w:color="auto" w:fill="FFFF00"/>
            <w:noWrap/>
            <w:hideMark/>
          </w:tcPr>
          <w:p w14:paraId="38F0C89A" w14:textId="77777777" w:rsidR="00967EAA" w:rsidRPr="00967EAA" w:rsidRDefault="00967EAA" w:rsidP="00967EAA">
            <w:pPr>
              <w:spacing w:before="0" w:after="0"/>
              <w:rPr>
                <w:b/>
                <w:bCs/>
              </w:rPr>
            </w:pPr>
            <w:r w:rsidRPr="00967EAA">
              <w:rPr>
                <w:b/>
                <w:bCs/>
              </w:rPr>
              <w:t>N/A</w:t>
            </w:r>
          </w:p>
        </w:tc>
        <w:tc>
          <w:tcPr>
            <w:tcW w:w="1011" w:type="dxa"/>
            <w:shd w:val="clear" w:color="auto" w:fill="FFFF00"/>
            <w:noWrap/>
            <w:hideMark/>
          </w:tcPr>
          <w:p w14:paraId="084C8E7C" w14:textId="77777777" w:rsidR="00967EAA" w:rsidRPr="00967EAA" w:rsidRDefault="00967EAA" w:rsidP="00967EAA">
            <w:pPr>
              <w:spacing w:before="0" w:after="0"/>
              <w:rPr>
                <w:b/>
                <w:bCs/>
              </w:rPr>
            </w:pPr>
            <w:r w:rsidRPr="00967EAA">
              <w:rPr>
                <w:b/>
                <w:bCs/>
              </w:rPr>
              <w:t>N/A</w:t>
            </w:r>
          </w:p>
        </w:tc>
        <w:tc>
          <w:tcPr>
            <w:tcW w:w="797" w:type="dxa"/>
            <w:shd w:val="clear" w:color="auto" w:fill="00B050"/>
            <w:noWrap/>
            <w:hideMark/>
          </w:tcPr>
          <w:p w14:paraId="7C02CE43" w14:textId="77777777" w:rsidR="00967EAA" w:rsidRPr="00967EAA" w:rsidRDefault="00967EAA" w:rsidP="00967EAA">
            <w:pPr>
              <w:spacing w:before="0" w:after="0"/>
              <w:rPr>
                <w:b/>
                <w:bCs/>
              </w:rPr>
            </w:pPr>
            <w:r w:rsidRPr="00967EAA">
              <w:rPr>
                <w:b/>
                <w:bCs/>
              </w:rPr>
              <w:t>Y-5</w:t>
            </w:r>
          </w:p>
        </w:tc>
        <w:tc>
          <w:tcPr>
            <w:tcW w:w="3503" w:type="dxa"/>
            <w:hideMark/>
          </w:tcPr>
          <w:p w14:paraId="12AFC86B" w14:textId="77777777" w:rsidR="00967EAA" w:rsidRPr="00967EAA" w:rsidRDefault="00967EAA" w:rsidP="00967EAA">
            <w:pPr>
              <w:spacing w:before="0" w:after="0"/>
            </w:pPr>
            <w:r w:rsidRPr="00967EAA">
              <w:t>Consistent with longstanding HIPAA rights</w:t>
            </w:r>
          </w:p>
        </w:tc>
      </w:tr>
      <w:tr w:rsidR="00967EAA" w:rsidRPr="00967EAA" w14:paraId="2C4923EC" w14:textId="77777777" w:rsidTr="00B46FDD">
        <w:trPr>
          <w:trHeight w:val="300"/>
        </w:trPr>
        <w:tc>
          <w:tcPr>
            <w:tcW w:w="2408" w:type="dxa"/>
            <w:shd w:val="clear" w:color="auto" w:fill="D9D9D9" w:themeFill="background1" w:themeFillShade="D9"/>
            <w:noWrap/>
            <w:hideMark/>
          </w:tcPr>
          <w:p w14:paraId="64D92816" w14:textId="77777777" w:rsidR="00967EAA" w:rsidRPr="00967EAA" w:rsidRDefault="00967EAA" w:rsidP="00967EAA">
            <w:pPr>
              <w:spacing w:before="0" w:after="0"/>
            </w:pPr>
            <w:r w:rsidRPr="00967EAA">
              <w:t>Strong MFA to enhance security</w:t>
            </w:r>
          </w:p>
        </w:tc>
        <w:tc>
          <w:tcPr>
            <w:tcW w:w="647" w:type="dxa"/>
          </w:tcPr>
          <w:p w14:paraId="79E3BEE9" w14:textId="77777777" w:rsidR="00967EAA" w:rsidRPr="00967EAA" w:rsidRDefault="00967EAA" w:rsidP="00967EAA">
            <w:pPr>
              <w:spacing w:before="0" w:after="0"/>
            </w:pPr>
            <w:r w:rsidRPr="00967EAA">
              <w:t>G</w:t>
            </w:r>
          </w:p>
        </w:tc>
        <w:tc>
          <w:tcPr>
            <w:tcW w:w="1224" w:type="dxa"/>
            <w:shd w:val="clear" w:color="auto" w:fill="00B050"/>
            <w:noWrap/>
            <w:hideMark/>
          </w:tcPr>
          <w:p w14:paraId="311FF891" w14:textId="77777777" w:rsidR="00967EAA" w:rsidRPr="00967EAA" w:rsidRDefault="00967EAA" w:rsidP="00967EAA">
            <w:pPr>
              <w:spacing w:before="0" w:after="0"/>
              <w:rPr>
                <w:b/>
                <w:bCs/>
              </w:rPr>
            </w:pPr>
            <w:r w:rsidRPr="00967EAA">
              <w:rPr>
                <w:b/>
                <w:bCs/>
              </w:rPr>
              <w:t>Y-3</w:t>
            </w:r>
          </w:p>
        </w:tc>
        <w:tc>
          <w:tcPr>
            <w:tcW w:w="1170" w:type="dxa"/>
            <w:shd w:val="clear" w:color="auto" w:fill="FFFF00"/>
            <w:noWrap/>
            <w:hideMark/>
          </w:tcPr>
          <w:p w14:paraId="328F9956" w14:textId="77777777" w:rsidR="00967EAA" w:rsidRPr="00967EAA" w:rsidRDefault="00967EAA" w:rsidP="00967EAA">
            <w:pPr>
              <w:spacing w:before="0" w:after="0"/>
              <w:rPr>
                <w:b/>
                <w:bCs/>
              </w:rPr>
            </w:pPr>
            <w:r w:rsidRPr="00967EAA">
              <w:rPr>
                <w:b/>
                <w:bCs/>
              </w:rPr>
              <w:t>N/A</w:t>
            </w:r>
          </w:p>
        </w:tc>
        <w:tc>
          <w:tcPr>
            <w:tcW w:w="900" w:type="dxa"/>
            <w:shd w:val="clear" w:color="auto" w:fill="00B050"/>
            <w:noWrap/>
            <w:hideMark/>
          </w:tcPr>
          <w:p w14:paraId="49FA36BB" w14:textId="77777777" w:rsidR="00967EAA" w:rsidRPr="00967EAA" w:rsidRDefault="00967EAA" w:rsidP="00967EAA">
            <w:pPr>
              <w:spacing w:before="0" w:after="0"/>
              <w:rPr>
                <w:b/>
                <w:bCs/>
              </w:rPr>
            </w:pPr>
            <w:r w:rsidRPr="00967EAA">
              <w:rPr>
                <w:b/>
                <w:bCs/>
              </w:rPr>
              <w:t>Y - 5</w:t>
            </w:r>
          </w:p>
        </w:tc>
        <w:tc>
          <w:tcPr>
            <w:tcW w:w="1080" w:type="dxa"/>
            <w:shd w:val="clear" w:color="auto" w:fill="00B050"/>
            <w:noWrap/>
            <w:hideMark/>
          </w:tcPr>
          <w:p w14:paraId="1F129082" w14:textId="77777777" w:rsidR="00967EAA" w:rsidRPr="00967EAA" w:rsidRDefault="00967EAA" w:rsidP="00967EAA">
            <w:pPr>
              <w:spacing w:before="0" w:after="0"/>
              <w:rPr>
                <w:b/>
                <w:bCs/>
              </w:rPr>
            </w:pPr>
            <w:r w:rsidRPr="00967EAA">
              <w:rPr>
                <w:b/>
                <w:bCs/>
              </w:rPr>
              <w:t>Y-2</w:t>
            </w:r>
          </w:p>
        </w:tc>
        <w:tc>
          <w:tcPr>
            <w:tcW w:w="1475" w:type="dxa"/>
            <w:shd w:val="clear" w:color="auto" w:fill="00B050"/>
            <w:noWrap/>
            <w:hideMark/>
          </w:tcPr>
          <w:p w14:paraId="263E8646" w14:textId="77777777" w:rsidR="00967EAA" w:rsidRPr="00967EAA" w:rsidRDefault="00967EAA" w:rsidP="00967EAA">
            <w:pPr>
              <w:spacing w:before="0" w:after="0"/>
              <w:rPr>
                <w:b/>
                <w:bCs/>
              </w:rPr>
            </w:pPr>
            <w:r w:rsidRPr="00967EAA">
              <w:rPr>
                <w:b/>
                <w:bCs/>
              </w:rPr>
              <w:t>Y-4</w:t>
            </w:r>
          </w:p>
        </w:tc>
        <w:tc>
          <w:tcPr>
            <w:tcW w:w="1011" w:type="dxa"/>
            <w:shd w:val="clear" w:color="auto" w:fill="00B050"/>
            <w:noWrap/>
            <w:hideMark/>
          </w:tcPr>
          <w:p w14:paraId="47B1E400" w14:textId="77777777" w:rsidR="00967EAA" w:rsidRPr="00967EAA" w:rsidRDefault="00967EAA" w:rsidP="00967EAA">
            <w:pPr>
              <w:spacing w:before="0" w:after="0"/>
              <w:rPr>
                <w:b/>
                <w:bCs/>
              </w:rPr>
            </w:pPr>
            <w:r w:rsidRPr="00967EAA">
              <w:rPr>
                <w:b/>
                <w:bCs/>
              </w:rPr>
              <w:t>Y-2</w:t>
            </w:r>
          </w:p>
        </w:tc>
        <w:tc>
          <w:tcPr>
            <w:tcW w:w="797" w:type="dxa"/>
            <w:shd w:val="clear" w:color="auto" w:fill="FF0000"/>
            <w:noWrap/>
            <w:hideMark/>
          </w:tcPr>
          <w:p w14:paraId="0E84B32A" w14:textId="77777777" w:rsidR="00967EAA" w:rsidRPr="00967EAA" w:rsidRDefault="00967EAA" w:rsidP="00967EAA">
            <w:pPr>
              <w:spacing w:before="0" w:after="0"/>
              <w:rPr>
                <w:b/>
                <w:bCs/>
              </w:rPr>
            </w:pPr>
            <w:r w:rsidRPr="00967EAA">
              <w:rPr>
                <w:b/>
                <w:bCs/>
              </w:rPr>
              <w:t>N-1</w:t>
            </w:r>
          </w:p>
        </w:tc>
        <w:tc>
          <w:tcPr>
            <w:tcW w:w="3503" w:type="dxa"/>
            <w:hideMark/>
          </w:tcPr>
          <w:p w14:paraId="13D9F999" w14:textId="77777777" w:rsidR="00967EAA" w:rsidRPr="00967EAA" w:rsidRDefault="00967EAA" w:rsidP="00967EAA">
            <w:pPr>
              <w:spacing w:before="0" w:after="0"/>
            </w:pPr>
            <w:r w:rsidRPr="00967EAA">
              <w:t>MFA = Multi-factor Authentication</w:t>
            </w:r>
          </w:p>
        </w:tc>
      </w:tr>
      <w:tr w:rsidR="00967EAA" w:rsidRPr="00967EAA" w14:paraId="3C70942D" w14:textId="77777777" w:rsidTr="00B46FDD">
        <w:trPr>
          <w:trHeight w:val="300"/>
        </w:trPr>
        <w:tc>
          <w:tcPr>
            <w:tcW w:w="2408" w:type="dxa"/>
            <w:shd w:val="clear" w:color="auto" w:fill="D9D9D9" w:themeFill="background1" w:themeFillShade="D9"/>
            <w:noWrap/>
            <w:hideMark/>
          </w:tcPr>
          <w:p w14:paraId="0CF3D733" w14:textId="77777777" w:rsidR="00967EAA" w:rsidRPr="00967EAA" w:rsidRDefault="00967EAA" w:rsidP="00967EAA">
            <w:pPr>
              <w:spacing w:before="0" w:after="0"/>
            </w:pPr>
            <w:r w:rsidRPr="00967EAA">
              <w:t>Standards-based risk-appropriate identity proofing</w:t>
            </w:r>
          </w:p>
        </w:tc>
        <w:tc>
          <w:tcPr>
            <w:tcW w:w="647" w:type="dxa"/>
          </w:tcPr>
          <w:p w14:paraId="0193776E" w14:textId="77777777" w:rsidR="00967EAA" w:rsidRPr="00967EAA" w:rsidRDefault="00967EAA" w:rsidP="00967EAA">
            <w:pPr>
              <w:spacing w:before="0" w:after="0"/>
            </w:pPr>
            <w:r w:rsidRPr="00967EAA">
              <w:t>H</w:t>
            </w:r>
          </w:p>
        </w:tc>
        <w:tc>
          <w:tcPr>
            <w:tcW w:w="1224" w:type="dxa"/>
            <w:shd w:val="clear" w:color="auto" w:fill="00B050"/>
            <w:noWrap/>
            <w:hideMark/>
          </w:tcPr>
          <w:p w14:paraId="11595768" w14:textId="77777777" w:rsidR="00967EAA" w:rsidRPr="00967EAA" w:rsidRDefault="00967EAA" w:rsidP="00967EAA">
            <w:pPr>
              <w:spacing w:before="0" w:after="0"/>
              <w:rPr>
                <w:b/>
                <w:bCs/>
              </w:rPr>
            </w:pPr>
            <w:r w:rsidRPr="00967EAA">
              <w:rPr>
                <w:b/>
                <w:bCs/>
              </w:rPr>
              <w:t>Y-1</w:t>
            </w:r>
          </w:p>
        </w:tc>
        <w:tc>
          <w:tcPr>
            <w:tcW w:w="1170" w:type="dxa"/>
            <w:shd w:val="clear" w:color="auto" w:fill="FF0000"/>
            <w:noWrap/>
            <w:hideMark/>
          </w:tcPr>
          <w:p w14:paraId="2B7AFD36" w14:textId="77777777" w:rsidR="00967EAA" w:rsidRPr="00967EAA" w:rsidRDefault="00967EAA" w:rsidP="00967EAA">
            <w:pPr>
              <w:spacing w:before="0" w:after="0"/>
              <w:rPr>
                <w:b/>
                <w:bCs/>
              </w:rPr>
            </w:pPr>
            <w:r w:rsidRPr="00967EAA">
              <w:rPr>
                <w:b/>
                <w:bCs/>
              </w:rPr>
              <w:t>N-1</w:t>
            </w:r>
          </w:p>
        </w:tc>
        <w:tc>
          <w:tcPr>
            <w:tcW w:w="900" w:type="dxa"/>
            <w:shd w:val="clear" w:color="auto" w:fill="00B050"/>
            <w:noWrap/>
            <w:hideMark/>
          </w:tcPr>
          <w:p w14:paraId="2850CA16" w14:textId="77777777" w:rsidR="00967EAA" w:rsidRPr="00967EAA" w:rsidRDefault="00967EAA" w:rsidP="00967EAA">
            <w:pPr>
              <w:spacing w:before="0" w:after="0"/>
              <w:rPr>
                <w:b/>
                <w:bCs/>
              </w:rPr>
            </w:pPr>
            <w:r w:rsidRPr="00967EAA">
              <w:rPr>
                <w:b/>
                <w:bCs/>
              </w:rPr>
              <w:t>Y-5</w:t>
            </w:r>
          </w:p>
        </w:tc>
        <w:tc>
          <w:tcPr>
            <w:tcW w:w="1080" w:type="dxa"/>
            <w:shd w:val="clear" w:color="auto" w:fill="FFFF00"/>
            <w:noWrap/>
            <w:hideMark/>
          </w:tcPr>
          <w:p w14:paraId="3E65786F" w14:textId="77777777" w:rsidR="00967EAA" w:rsidRPr="00967EAA" w:rsidRDefault="00967EAA" w:rsidP="00967EAA">
            <w:pPr>
              <w:spacing w:before="0" w:after="0"/>
              <w:rPr>
                <w:b/>
                <w:bCs/>
              </w:rPr>
            </w:pPr>
            <w:r w:rsidRPr="00967EAA">
              <w:rPr>
                <w:b/>
                <w:bCs/>
              </w:rPr>
              <w:t>N/A</w:t>
            </w:r>
          </w:p>
        </w:tc>
        <w:tc>
          <w:tcPr>
            <w:tcW w:w="1475" w:type="dxa"/>
            <w:shd w:val="clear" w:color="auto" w:fill="00B050"/>
            <w:noWrap/>
            <w:hideMark/>
          </w:tcPr>
          <w:p w14:paraId="55CA12A0" w14:textId="77777777" w:rsidR="00967EAA" w:rsidRPr="00967EAA" w:rsidRDefault="00967EAA" w:rsidP="00967EAA">
            <w:pPr>
              <w:spacing w:before="0" w:after="0"/>
              <w:rPr>
                <w:b/>
                <w:bCs/>
              </w:rPr>
            </w:pPr>
            <w:r w:rsidRPr="00967EAA">
              <w:rPr>
                <w:b/>
                <w:bCs/>
              </w:rPr>
              <w:t>Y-3</w:t>
            </w:r>
          </w:p>
        </w:tc>
        <w:tc>
          <w:tcPr>
            <w:tcW w:w="1011" w:type="dxa"/>
            <w:shd w:val="clear" w:color="auto" w:fill="FF0000"/>
            <w:noWrap/>
            <w:hideMark/>
          </w:tcPr>
          <w:p w14:paraId="4439739E" w14:textId="77777777" w:rsidR="00967EAA" w:rsidRPr="00967EAA" w:rsidRDefault="00967EAA" w:rsidP="00967EAA">
            <w:pPr>
              <w:spacing w:before="0" w:after="0"/>
              <w:rPr>
                <w:b/>
                <w:bCs/>
              </w:rPr>
            </w:pPr>
            <w:r w:rsidRPr="00967EAA">
              <w:rPr>
                <w:b/>
                <w:bCs/>
              </w:rPr>
              <w:t>N-2</w:t>
            </w:r>
          </w:p>
        </w:tc>
        <w:tc>
          <w:tcPr>
            <w:tcW w:w="797" w:type="dxa"/>
            <w:shd w:val="clear" w:color="auto" w:fill="FF0000"/>
            <w:noWrap/>
            <w:hideMark/>
          </w:tcPr>
          <w:p w14:paraId="6B155906" w14:textId="77777777" w:rsidR="00967EAA" w:rsidRPr="00967EAA" w:rsidRDefault="00967EAA" w:rsidP="00967EAA">
            <w:pPr>
              <w:spacing w:before="0" w:after="0"/>
              <w:rPr>
                <w:b/>
                <w:bCs/>
              </w:rPr>
            </w:pPr>
            <w:r w:rsidRPr="00967EAA">
              <w:rPr>
                <w:b/>
                <w:bCs/>
              </w:rPr>
              <w:t>N-2</w:t>
            </w:r>
          </w:p>
        </w:tc>
        <w:tc>
          <w:tcPr>
            <w:tcW w:w="3503" w:type="dxa"/>
            <w:hideMark/>
          </w:tcPr>
          <w:p w14:paraId="2D053936" w14:textId="77777777" w:rsidR="00967EAA" w:rsidRPr="00967EAA" w:rsidRDefault="00967EAA" w:rsidP="00967EAA">
            <w:pPr>
              <w:spacing w:before="0" w:after="0"/>
              <w:rPr>
                <w:b/>
                <w:bCs/>
              </w:rPr>
            </w:pPr>
            <w:r w:rsidRPr="00967EAA">
              <w:rPr>
                <w:b/>
                <w:bCs/>
              </w:rPr>
              <w:t xml:space="preserve"> See H1-7 in comments below</w:t>
            </w:r>
          </w:p>
        </w:tc>
      </w:tr>
      <w:tr w:rsidR="00967EAA" w:rsidRPr="00967EAA" w14:paraId="3B5062DD" w14:textId="77777777" w:rsidTr="00B46FDD">
        <w:trPr>
          <w:trHeight w:val="315"/>
        </w:trPr>
        <w:tc>
          <w:tcPr>
            <w:tcW w:w="2408" w:type="dxa"/>
            <w:shd w:val="clear" w:color="auto" w:fill="D9D9D9" w:themeFill="background1" w:themeFillShade="D9"/>
            <w:noWrap/>
            <w:hideMark/>
          </w:tcPr>
          <w:p w14:paraId="45F147BB" w14:textId="77777777" w:rsidR="00967EAA" w:rsidRPr="00967EAA" w:rsidRDefault="00967EAA" w:rsidP="00967EAA">
            <w:pPr>
              <w:spacing w:before="0" w:after="0"/>
            </w:pPr>
            <w:r w:rsidRPr="00967EAA">
              <w:t>Resilience</w:t>
            </w:r>
          </w:p>
        </w:tc>
        <w:tc>
          <w:tcPr>
            <w:tcW w:w="647" w:type="dxa"/>
          </w:tcPr>
          <w:p w14:paraId="5459B26A" w14:textId="77777777" w:rsidR="00967EAA" w:rsidRPr="00967EAA" w:rsidRDefault="00967EAA" w:rsidP="00967EAA">
            <w:pPr>
              <w:spacing w:before="0" w:after="0"/>
            </w:pPr>
            <w:r w:rsidRPr="00967EAA">
              <w:t>I</w:t>
            </w:r>
          </w:p>
        </w:tc>
        <w:tc>
          <w:tcPr>
            <w:tcW w:w="1224" w:type="dxa"/>
            <w:shd w:val="clear" w:color="auto" w:fill="00B050"/>
            <w:noWrap/>
            <w:hideMark/>
          </w:tcPr>
          <w:p w14:paraId="101E726A" w14:textId="77777777" w:rsidR="00967EAA" w:rsidRPr="00967EAA" w:rsidRDefault="00967EAA" w:rsidP="00967EAA">
            <w:pPr>
              <w:spacing w:before="0" w:after="0"/>
              <w:rPr>
                <w:b/>
                <w:bCs/>
              </w:rPr>
            </w:pPr>
            <w:r w:rsidRPr="00967EAA">
              <w:rPr>
                <w:b/>
                <w:bCs/>
              </w:rPr>
              <w:t>Y-4</w:t>
            </w:r>
          </w:p>
        </w:tc>
        <w:tc>
          <w:tcPr>
            <w:tcW w:w="1170" w:type="dxa"/>
            <w:shd w:val="clear" w:color="auto" w:fill="FFFF00"/>
            <w:noWrap/>
            <w:hideMark/>
          </w:tcPr>
          <w:p w14:paraId="7B18012E" w14:textId="77777777" w:rsidR="00967EAA" w:rsidRPr="00967EAA" w:rsidRDefault="00967EAA" w:rsidP="00967EAA">
            <w:pPr>
              <w:spacing w:before="0" w:after="0"/>
              <w:rPr>
                <w:b/>
                <w:bCs/>
              </w:rPr>
            </w:pPr>
            <w:r w:rsidRPr="00967EAA">
              <w:rPr>
                <w:b/>
                <w:bCs/>
              </w:rPr>
              <w:t>N/A</w:t>
            </w:r>
          </w:p>
        </w:tc>
        <w:tc>
          <w:tcPr>
            <w:tcW w:w="900" w:type="dxa"/>
            <w:shd w:val="clear" w:color="auto" w:fill="00B050"/>
            <w:noWrap/>
            <w:hideMark/>
          </w:tcPr>
          <w:p w14:paraId="62F23626" w14:textId="77777777" w:rsidR="00967EAA" w:rsidRPr="00967EAA" w:rsidRDefault="00967EAA" w:rsidP="00967EAA">
            <w:pPr>
              <w:spacing w:before="0" w:after="0"/>
              <w:rPr>
                <w:b/>
                <w:bCs/>
              </w:rPr>
            </w:pPr>
            <w:r w:rsidRPr="00967EAA">
              <w:rPr>
                <w:b/>
                <w:bCs/>
              </w:rPr>
              <w:t>Y-3</w:t>
            </w:r>
          </w:p>
        </w:tc>
        <w:tc>
          <w:tcPr>
            <w:tcW w:w="1080" w:type="dxa"/>
            <w:shd w:val="clear" w:color="auto" w:fill="00B050"/>
            <w:noWrap/>
            <w:hideMark/>
          </w:tcPr>
          <w:p w14:paraId="01143423" w14:textId="77777777" w:rsidR="00967EAA" w:rsidRPr="00967EAA" w:rsidRDefault="00967EAA" w:rsidP="00967EAA">
            <w:pPr>
              <w:spacing w:before="0" w:after="0"/>
              <w:rPr>
                <w:b/>
                <w:bCs/>
              </w:rPr>
            </w:pPr>
            <w:r w:rsidRPr="00967EAA">
              <w:rPr>
                <w:b/>
                <w:bCs/>
              </w:rPr>
              <w:t>Y-5</w:t>
            </w:r>
          </w:p>
        </w:tc>
        <w:tc>
          <w:tcPr>
            <w:tcW w:w="1475" w:type="dxa"/>
            <w:shd w:val="clear" w:color="auto" w:fill="00B050"/>
            <w:noWrap/>
            <w:hideMark/>
          </w:tcPr>
          <w:p w14:paraId="7F20DE81" w14:textId="77777777" w:rsidR="00967EAA" w:rsidRPr="00967EAA" w:rsidRDefault="00967EAA" w:rsidP="00967EAA">
            <w:pPr>
              <w:spacing w:before="0" w:after="0"/>
              <w:rPr>
                <w:b/>
                <w:bCs/>
              </w:rPr>
            </w:pPr>
            <w:r w:rsidRPr="00967EAA">
              <w:rPr>
                <w:b/>
                <w:bCs/>
              </w:rPr>
              <w:t>Y-2</w:t>
            </w:r>
          </w:p>
        </w:tc>
        <w:tc>
          <w:tcPr>
            <w:tcW w:w="1011" w:type="dxa"/>
            <w:shd w:val="clear" w:color="auto" w:fill="00B050"/>
            <w:noWrap/>
            <w:hideMark/>
          </w:tcPr>
          <w:p w14:paraId="2B04F91F" w14:textId="77777777" w:rsidR="00967EAA" w:rsidRPr="00967EAA" w:rsidRDefault="00967EAA" w:rsidP="00967EAA">
            <w:pPr>
              <w:spacing w:before="0" w:after="0"/>
              <w:rPr>
                <w:b/>
                <w:bCs/>
              </w:rPr>
            </w:pPr>
            <w:r w:rsidRPr="00967EAA">
              <w:rPr>
                <w:b/>
                <w:bCs/>
              </w:rPr>
              <w:t>Y-2</w:t>
            </w:r>
          </w:p>
        </w:tc>
        <w:tc>
          <w:tcPr>
            <w:tcW w:w="797" w:type="dxa"/>
            <w:shd w:val="clear" w:color="auto" w:fill="00B050"/>
            <w:noWrap/>
            <w:hideMark/>
          </w:tcPr>
          <w:p w14:paraId="78D5DBD2" w14:textId="77777777" w:rsidR="00967EAA" w:rsidRPr="00967EAA" w:rsidRDefault="00967EAA" w:rsidP="00967EAA">
            <w:pPr>
              <w:spacing w:before="0" w:after="0"/>
              <w:rPr>
                <w:b/>
                <w:bCs/>
              </w:rPr>
            </w:pPr>
            <w:r w:rsidRPr="00967EAA">
              <w:rPr>
                <w:b/>
                <w:bCs/>
              </w:rPr>
              <w:t>Y-4</w:t>
            </w:r>
          </w:p>
        </w:tc>
        <w:tc>
          <w:tcPr>
            <w:tcW w:w="3503" w:type="dxa"/>
            <w:hideMark/>
          </w:tcPr>
          <w:p w14:paraId="3F5F0505" w14:textId="77777777" w:rsidR="00967EAA" w:rsidRPr="00967EAA" w:rsidRDefault="00967EAA" w:rsidP="00967EAA">
            <w:pPr>
              <w:spacing w:before="0" w:after="0"/>
            </w:pPr>
            <w:r w:rsidRPr="00967EAA">
              <w:t xml:space="preserve">The ability “to recover and adapt to drastic and abrupt change” </w:t>
            </w:r>
          </w:p>
        </w:tc>
      </w:tr>
      <w:tr w:rsidR="00967EAA" w:rsidRPr="00967EAA" w14:paraId="62272CA2" w14:textId="77777777" w:rsidTr="00B46FDD">
        <w:trPr>
          <w:trHeight w:val="300"/>
        </w:trPr>
        <w:tc>
          <w:tcPr>
            <w:tcW w:w="2408" w:type="dxa"/>
            <w:shd w:val="clear" w:color="auto" w:fill="D9D9D9" w:themeFill="background1" w:themeFillShade="D9"/>
            <w:noWrap/>
            <w:hideMark/>
          </w:tcPr>
          <w:p w14:paraId="15ED8E28" w14:textId="77777777" w:rsidR="00967EAA" w:rsidRPr="00967EAA" w:rsidRDefault="00967EAA" w:rsidP="00967EAA">
            <w:pPr>
              <w:spacing w:before="0" w:after="0"/>
            </w:pPr>
            <w:r w:rsidRPr="00967EAA">
              <w:t>Legal Redress allowed/defined</w:t>
            </w:r>
          </w:p>
        </w:tc>
        <w:tc>
          <w:tcPr>
            <w:tcW w:w="647" w:type="dxa"/>
          </w:tcPr>
          <w:p w14:paraId="55734E26" w14:textId="77777777" w:rsidR="00967EAA" w:rsidRPr="00967EAA" w:rsidRDefault="00967EAA" w:rsidP="00967EAA">
            <w:pPr>
              <w:spacing w:before="0" w:after="0"/>
            </w:pPr>
            <w:r w:rsidRPr="00967EAA">
              <w:t>J</w:t>
            </w:r>
          </w:p>
        </w:tc>
        <w:tc>
          <w:tcPr>
            <w:tcW w:w="1224" w:type="dxa"/>
            <w:shd w:val="clear" w:color="auto" w:fill="00B050"/>
            <w:noWrap/>
            <w:hideMark/>
          </w:tcPr>
          <w:p w14:paraId="4389FBCB" w14:textId="77777777" w:rsidR="00967EAA" w:rsidRPr="00967EAA" w:rsidRDefault="00967EAA" w:rsidP="00967EAA">
            <w:pPr>
              <w:spacing w:before="0" w:after="0"/>
              <w:rPr>
                <w:b/>
                <w:bCs/>
              </w:rPr>
            </w:pPr>
            <w:r w:rsidRPr="00967EAA">
              <w:rPr>
                <w:b/>
                <w:bCs/>
              </w:rPr>
              <w:t>Y - 5</w:t>
            </w:r>
          </w:p>
        </w:tc>
        <w:tc>
          <w:tcPr>
            <w:tcW w:w="1170" w:type="dxa"/>
            <w:shd w:val="clear" w:color="auto" w:fill="00B050"/>
            <w:noWrap/>
            <w:hideMark/>
          </w:tcPr>
          <w:p w14:paraId="1F8D7B7B" w14:textId="77777777" w:rsidR="00967EAA" w:rsidRPr="00967EAA" w:rsidRDefault="00967EAA" w:rsidP="00967EAA">
            <w:pPr>
              <w:spacing w:before="0" w:after="0"/>
              <w:rPr>
                <w:b/>
                <w:bCs/>
              </w:rPr>
            </w:pPr>
            <w:r w:rsidRPr="00967EAA">
              <w:rPr>
                <w:b/>
                <w:bCs/>
              </w:rPr>
              <w:t>Y - 2</w:t>
            </w:r>
          </w:p>
        </w:tc>
        <w:tc>
          <w:tcPr>
            <w:tcW w:w="900" w:type="dxa"/>
            <w:shd w:val="clear" w:color="auto" w:fill="00B050"/>
            <w:noWrap/>
            <w:hideMark/>
          </w:tcPr>
          <w:p w14:paraId="11C6E445" w14:textId="77777777" w:rsidR="00967EAA" w:rsidRPr="00967EAA" w:rsidRDefault="00967EAA" w:rsidP="00967EAA">
            <w:pPr>
              <w:spacing w:before="0" w:after="0"/>
              <w:rPr>
                <w:b/>
                <w:bCs/>
              </w:rPr>
            </w:pPr>
            <w:r w:rsidRPr="00967EAA">
              <w:rPr>
                <w:b/>
                <w:bCs/>
              </w:rPr>
              <w:t>Y-2</w:t>
            </w:r>
          </w:p>
        </w:tc>
        <w:tc>
          <w:tcPr>
            <w:tcW w:w="1080" w:type="dxa"/>
            <w:shd w:val="clear" w:color="auto" w:fill="00B050"/>
            <w:noWrap/>
            <w:hideMark/>
          </w:tcPr>
          <w:p w14:paraId="162FE297" w14:textId="77777777" w:rsidR="00967EAA" w:rsidRPr="00967EAA" w:rsidRDefault="00967EAA" w:rsidP="00967EAA">
            <w:pPr>
              <w:spacing w:before="0" w:after="0"/>
              <w:rPr>
                <w:b/>
                <w:bCs/>
              </w:rPr>
            </w:pPr>
            <w:r w:rsidRPr="00967EAA">
              <w:rPr>
                <w:b/>
                <w:bCs/>
              </w:rPr>
              <w:t>Y-2</w:t>
            </w:r>
          </w:p>
        </w:tc>
        <w:tc>
          <w:tcPr>
            <w:tcW w:w="1475" w:type="dxa"/>
            <w:shd w:val="clear" w:color="auto" w:fill="00B050"/>
            <w:noWrap/>
            <w:hideMark/>
          </w:tcPr>
          <w:p w14:paraId="4614852F" w14:textId="77777777" w:rsidR="00967EAA" w:rsidRPr="00967EAA" w:rsidRDefault="00967EAA" w:rsidP="00967EAA">
            <w:pPr>
              <w:spacing w:before="0" w:after="0"/>
              <w:rPr>
                <w:b/>
                <w:bCs/>
              </w:rPr>
            </w:pPr>
            <w:r w:rsidRPr="00967EAA">
              <w:rPr>
                <w:b/>
                <w:bCs/>
              </w:rPr>
              <w:t>Y-3</w:t>
            </w:r>
          </w:p>
        </w:tc>
        <w:tc>
          <w:tcPr>
            <w:tcW w:w="1011" w:type="dxa"/>
            <w:shd w:val="clear" w:color="auto" w:fill="00B050"/>
            <w:noWrap/>
            <w:hideMark/>
          </w:tcPr>
          <w:p w14:paraId="1C463D1C" w14:textId="77777777" w:rsidR="00967EAA" w:rsidRPr="00967EAA" w:rsidRDefault="00967EAA" w:rsidP="00967EAA">
            <w:pPr>
              <w:spacing w:before="0" w:after="0"/>
              <w:rPr>
                <w:b/>
                <w:bCs/>
              </w:rPr>
            </w:pPr>
            <w:r w:rsidRPr="00967EAA">
              <w:rPr>
                <w:b/>
                <w:bCs/>
              </w:rPr>
              <w:t>Y - 2</w:t>
            </w:r>
          </w:p>
        </w:tc>
        <w:tc>
          <w:tcPr>
            <w:tcW w:w="797" w:type="dxa"/>
            <w:shd w:val="clear" w:color="auto" w:fill="00B050"/>
            <w:noWrap/>
            <w:hideMark/>
          </w:tcPr>
          <w:p w14:paraId="4DA31744" w14:textId="77777777" w:rsidR="00967EAA" w:rsidRPr="00967EAA" w:rsidRDefault="00967EAA" w:rsidP="00967EAA">
            <w:pPr>
              <w:spacing w:before="0" w:after="0"/>
              <w:rPr>
                <w:b/>
                <w:bCs/>
              </w:rPr>
            </w:pPr>
            <w:r w:rsidRPr="00967EAA">
              <w:rPr>
                <w:b/>
                <w:bCs/>
              </w:rPr>
              <w:t>Y-1</w:t>
            </w:r>
          </w:p>
        </w:tc>
        <w:tc>
          <w:tcPr>
            <w:tcW w:w="3503" w:type="dxa"/>
            <w:hideMark/>
          </w:tcPr>
          <w:p w14:paraId="04C0591C" w14:textId="77777777" w:rsidR="00967EAA" w:rsidRPr="00967EAA" w:rsidRDefault="00967EAA" w:rsidP="00967EAA">
            <w:pPr>
              <w:spacing w:before="0" w:after="0"/>
            </w:pPr>
            <w:r w:rsidRPr="00967EAA">
              <w:t>To counter intentional online ID fraud/abuse</w:t>
            </w:r>
          </w:p>
        </w:tc>
      </w:tr>
    </w:tbl>
    <w:p w14:paraId="48B04CD6" w14:textId="77777777" w:rsidR="00967EAA" w:rsidRDefault="00967EAA" w:rsidP="00967EAA">
      <w:pPr>
        <w:spacing w:before="0" w:after="0"/>
        <w:rPr>
          <w:b/>
          <w:bCs/>
        </w:rPr>
      </w:pPr>
    </w:p>
    <w:p w14:paraId="13E83C2A" w14:textId="77777777" w:rsidR="00967EAA" w:rsidRPr="00967EAA" w:rsidRDefault="00967EAA" w:rsidP="00967EAA">
      <w:pPr>
        <w:spacing w:before="0" w:after="0"/>
        <w:rPr>
          <w:b/>
          <w:bCs/>
        </w:rPr>
      </w:pPr>
      <w:r w:rsidRPr="00967EAA">
        <w:rPr>
          <w:b/>
          <w:bCs/>
        </w:rPr>
        <w:lastRenderedPageBreak/>
        <w:t xml:space="preserve">Key to cell scores: </w:t>
      </w:r>
    </w:p>
    <w:p w14:paraId="7514FC93" w14:textId="77777777" w:rsidR="005B05EC" w:rsidRPr="00967EAA" w:rsidRDefault="005B05EC" w:rsidP="005B05EC">
      <w:pPr>
        <w:spacing w:before="0" w:after="0"/>
      </w:pPr>
      <w:r w:rsidRPr="007D76AB">
        <w:rPr>
          <w:highlight w:val="green"/>
        </w:rPr>
        <w:t>Y</w:t>
      </w:r>
      <w:r w:rsidRPr="00967EAA">
        <w:t xml:space="preserve"> = HIAWG Requirement consistent with or supports NSTIC principle</w:t>
      </w:r>
    </w:p>
    <w:p w14:paraId="412A8DB0" w14:textId="77777777" w:rsidR="005B05EC" w:rsidRPr="00967EAA" w:rsidRDefault="005B05EC" w:rsidP="005B05EC">
      <w:pPr>
        <w:spacing w:before="0" w:after="0"/>
      </w:pPr>
      <w:r w:rsidRPr="007D76AB">
        <w:rPr>
          <w:highlight w:val="yellow"/>
        </w:rPr>
        <w:t>N/A</w:t>
      </w:r>
      <w:r w:rsidRPr="00967EAA">
        <w:t xml:space="preserve"> = HIAWG requirement doesn’t map to any NSTIC principle or relationship is ambiguous</w:t>
      </w:r>
    </w:p>
    <w:p w14:paraId="188A5D33" w14:textId="77777777" w:rsidR="005B05EC" w:rsidRPr="00967EAA" w:rsidRDefault="005B05EC" w:rsidP="005B05EC">
      <w:pPr>
        <w:spacing w:before="0" w:after="0"/>
      </w:pPr>
      <w:r w:rsidRPr="007D76AB">
        <w:rPr>
          <w:highlight w:val="red"/>
        </w:rPr>
        <w:t>N</w:t>
      </w:r>
      <w:r w:rsidRPr="00967EAA">
        <w:t xml:space="preserve"> = HIAWG requirement inconsistent with or does not support NSTIC principle</w:t>
      </w:r>
    </w:p>
    <w:p w14:paraId="0F263337" w14:textId="77777777" w:rsidR="005B05EC" w:rsidRPr="00967EAA" w:rsidRDefault="005B05EC" w:rsidP="005B05EC">
      <w:pPr>
        <w:spacing w:before="0" w:after="0"/>
      </w:pPr>
      <w:r w:rsidRPr="00967EAA">
        <w:t xml:space="preserve">Numeric scores 1-5: strength of positive or negative relationship. 1 = weakest, 5 = strongest </w:t>
      </w:r>
    </w:p>
    <w:p w14:paraId="4787759C" w14:textId="77777777" w:rsidR="005B05EC" w:rsidRPr="00967EAA" w:rsidRDefault="005B05EC" w:rsidP="005B05EC">
      <w:pPr>
        <w:spacing w:before="0" w:after="0"/>
        <w:rPr>
          <w:b/>
          <w:bCs/>
        </w:rPr>
      </w:pPr>
      <w:r w:rsidRPr="00967EAA">
        <w:rPr>
          <w:b/>
          <w:bCs/>
        </w:rPr>
        <w:t xml:space="preserve">Interpreting the matrix—Examples: </w:t>
      </w:r>
    </w:p>
    <w:p w14:paraId="32B7B717" w14:textId="77777777" w:rsidR="005B05EC" w:rsidRPr="00967EAA" w:rsidRDefault="005B05EC" w:rsidP="005B05EC">
      <w:pPr>
        <w:spacing w:before="0" w:after="0"/>
      </w:pPr>
      <w:r w:rsidRPr="00967EAA">
        <w:t xml:space="preserve">Score of </w:t>
      </w:r>
      <w:r w:rsidRPr="007D76AB">
        <w:rPr>
          <w:b/>
          <w:bCs/>
          <w:highlight w:val="green"/>
        </w:rPr>
        <w:t>Y-5</w:t>
      </w:r>
      <w:r w:rsidRPr="00967EAA">
        <w:t xml:space="preserve"> in cell D3 means that </w:t>
      </w:r>
      <w:r w:rsidRPr="00967EAA">
        <w:rPr>
          <w:b/>
          <w:bCs/>
        </w:rPr>
        <w:t>Robust Audit Trails</w:t>
      </w:r>
      <w:r w:rsidRPr="00967EAA">
        <w:t xml:space="preserve"> (HIAWG requirement D) are judged to be </w:t>
      </w:r>
      <w:r w:rsidRPr="00967EAA">
        <w:rPr>
          <w:b/>
          <w:bCs/>
        </w:rPr>
        <w:t>strongly supportive</w:t>
      </w:r>
      <w:r w:rsidRPr="00967EAA">
        <w:t xml:space="preserve"> of </w:t>
      </w:r>
      <w:r w:rsidRPr="00967EAA">
        <w:rPr>
          <w:b/>
          <w:bCs/>
        </w:rPr>
        <w:t>Security</w:t>
      </w:r>
      <w:r w:rsidRPr="00967EAA">
        <w:t xml:space="preserve"> (NSTIC Principle 3)   </w:t>
      </w:r>
    </w:p>
    <w:p w14:paraId="4CF7C9E4" w14:textId="77777777" w:rsidR="005B05EC" w:rsidRPr="00967EAA" w:rsidRDefault="005B05EC" w:rsidP="005B05EC">
      <w:pPr>
        <w:spacing w:before="0" w:after="0"/>
      </w:pPr>
      <w:r w:rsidRPr="00967EAA">
        <w:t xml:space="preserve">Score of </w:t>
      </w:r>
      <w:r w:rsidRPr="007D76AB">
        <w:rPr>
          <w:b/>
          <w:bCs/>
          <w:highlight w:val="red"/>
        </w:rPr>
        <w:t>N-1</w:t>
      </w:r>
      <w:r w:rsidRPr="00967EAA">
        <w:t xml:space="preserve"> in cell G7 means that </w:t>
      </w:r>
      <w:r w:rsidRPr="00967EAA">
        <w:rPr>
          <w:b/>
          <w:bCs/>
        </w:rPr>
        <w:t>Strong MFA</w:t>
      </w:r>
      <w:r w:rsidRPr="00967EAA">
        <w:t xml:space="preserve"> (HIAWG requirement G) are judged to be </w:t>
      </w:r>
      <w:r w:rsidRPr="00967EAA">
        <w:rPr>
          <w:b/>
          <w:bCs/>
        </w:rPr>
        <w:t>weakly inconsistent</w:t>
      </w:r>
      <w:r w:rsidRPr="00967EAA">
        <w:t xml:space="preserve"> with </w:t>
      </w:r>
      <w:r w:rsidRPr="00967EAA">
        <w:rPr>
          <w:b/>
          <w:bCs/>
        </w:rPr>
        <w:t>Easy to Use</w:t>
      </w:r>
      <w:r w:rsidRPr="00967EAA">
        <w:t xml:space="preserve"> (NSTIC Principle 7)</w:t>
      </w:r>
    </w:p>
    <w:p w14:paraId="2F7E3AC6" w14:textId="5909162E" w:rsidR="00967EAA" w:rsidRPr="00967EAA" w:rsidRDefault="005B05EC" w:rsidP="005B05EC">
      <w:pPr>
        <w:spacing w:before="0" w:after="0"/>
        <w:rPr>
          <w:b/>
          <w:bCs/>
        </w:rPr>
      </w:pPr>
      <w:r w:rsidRPr="00967EAA">
        <w:rPr>
          <w:b/>
          <w:bCs/>
        </w:rPr>
        <w:br w:type="page"/>
      </w:r>
      <w:r w:rsidR="00967EAA" w:rsidRPr="00967EAA">
        <w:rPr>
          <w:b/>
          <w:bCs/>
          <w:lang w:val="en"/>
        </w:rPr>
        <w:lastRenderedPageBreak/>
        <w:t xml:space="preserve">HIAWG Member Comments on Individual Cell Scores </w:t>
      </w:r>
    </w:p>
    <w:tbl>
      <w:tblPr>
        <w:tblStyle w:val="TableGrid"/>
        <w:tblW w:w="0" w:type="auto"/>
        <w:tblLook w:val="04A0" w:firstRow="1" w:lastRow="0" w:firstColumn="1" w:lastColumn="0" w:noHBand="0" w:noVBand="1"/>
      </w:tblPr>
      <w:tblGrid>
        <w:gridCol w:w="882"/>
        <w:gridCol w:w="12790"/>
      </w:tblGrid>
      <w:tr w:rsidR="00967EAA" w:rsidRPr="00967EAA" w14:paraId="7547E413" w14:textId="77777777" w:rsidTr="00B46FDD">
        <w:tc>
          <w:tcPr>
            <w:tcW w:w="895" w:type="dxa"/>
            <w:shd w:val="clear" w:color="auto" w:fill="BFBFBF" w:themeFill="background1" w:themeFillShade="BF"/>
          </w:tcPr>
          <w:p w14:paraId="18A191ED" w14:textId="77777777" w:rsidR="00967EAA" w:rsidRPr="00967EAA" w:rsidRDefault="00967EAA" w:rsidP="00967EAA">
            <w:pPr>
              <w:spacing w:before="0" w:after="0"/>
              <w:rPr>
                <w:b/>
                <w:bCs/>
              </w:rPr>
            </w:pPr>
            <w:r w:rsidRPr="00967EAA">
              <w:rPr>
                <w:b/>
                <w:bCs/>
              </w:rPr>
              <w:t>Cell</w:t>
            </w:r>
          </w:p>
        </w:tc>
        <w:tc>
          <w:tcPr>
            <w:tcW w:w="13320" w:type="dxa"/>
            <w:shd w:val="clear" w:color="auto" w:fill="BFBFBF" w:themeFill="background1" w:themeFillShade="BF"/>
          </w:tcPr>
          <w:p w14:paraId="0967FC54" w14:textId="77777777" w:rsidR="00967EAA" w:rsidRPr="00967EAA" w:rsidRDefault="00967EAA" w:rsidP="00967EAA">
            <w:pPr>
              <w:spacing w:before="0" w:after="0"/>
              <w:rPr>
                <w:b/>
                <w:bCs/>
              </w:rPr>
            </w:pPr>
            <w:r w:rsidRPr="00967EAA">
              <w:rPr>
                <w:b/>
                <w:bCs/>
              </w:rPr>
              <w:t>Comment</w:t>
            </w:r>
          </w:p>
        </w:tc>
      </w:tr>
      <w:tr w:rsidR="00967EAA" w:rsidRPr="00967EAA" w14:paraId="742D7F6B" w14:textId="77777777" w:rsidTr="00B46FDD">
        <w:tc>
          <w:tcPr>
            <w:tcW w:w="895" w:type="dxa"/>
          </w:tcPr>
          <w:p w14:paraId="6205AAA1" w14:textId="77777777" w:rsidR="00967EAA" w:rsidRPr="00967EAA" w:rsidRDefault="00967EAA" w:rsidP="00967EAA">
            <w:pPr>
              <w:spacing w:before="0" w:after="0"/>
            </w:pPr>
            <w:r w:rsidRPr="00967EAA">
              <w:t>A-1</w:t>
            </w:r>
          </w:p>
        </w:tc>
        <w:tc>
          <w:tcPr>
            <w:tcW w:w="13320" w:type="dxa"/>
          </w:tcPr>
          <w:p w14:paraId="0E6FDAE7" w14:textId="77777777" w:rsidR="00967EAA" w:rsidRPr="00967EAA" w:rsidRDefault="00967EAA" w:rsidP="00967EAA">
            <w:pPr>
              <w:spacing w:before="0" w:after="0"/>
            </w:pPr>
            <w:r w:rsidRPr="00967EAA">
              <w:rPr>
                <w:lang w:val="en"/>
              </w:rPr>
              <w:t>Marginal extra protection against inadvertent disclosure of ID or medical info.</w:t>
            </w:r>
          </w:p>
        </w:tc>
      </w:tr>
      <w:tr w:rsidR="00967EAA" w:rsidRPr="00967EAA" w14:paraId="032CF9B3" w14:textId="77777777" w:rsidTr="00B46FDD">
        <w:tc>
          <w:tcPr>
            <w:tcW w:w="895" w:type="dxa"/>
          </w:tcPr>
          <w:p w14:paraId="107E3239" w14:textId="77777777" w:rsidR="00967EAA" w:rsidRPr="00967EAA" w:rsidRDefault="00967EAA" w:rsidP="00967EAA">
            <w:pPr>
              <w:spacing w:before="0" w:after="0"/>
            </w:pPr>
            <w:r w:rsidRPr="00967EAA">
              <w:t>A-3</w:t>
            </w:r>
          </w:p>
        </w:tc>
        <w:tc>
          <w:tcPr>
            <w:tcW w:w="13320" w:type="dxa"/>
          </w:tcPr>
          <w:p w14:paraId="54595C0B" w14:textId="77777777" w:rsidR="00967EAA" w:rsidRPr="00967EAA" w:rsidRDefault="00967EAA" w:rsidP="00967EAA">
            <w:pPr>
              <w:spacing w:before="0" w:after="0"/>
            </w:pPr>
            <w:r w:rsidRPr="00967EAA">
              <w:rPr>
                <w:lang w:val="en"/>
              </w:rPr>
              <w:t>Cyber-attack on IDs scored under HIAWG G (MFA). This positive score is for fewer inadvertent errors</w:t>
            </w:r>
          </w:p>
        </w:tc>
      </w:tr>
      <w:tr w:rsidR="00967EAA" w:rsidRPr="00967EAA" w14:paraId="49D5135F" w14:textId="77777777" w:rsidTr="00B46FDD">
        <w:tc>
          <w:tcPr>
            <w:tcW w:w="895" w:type="dxa"/>
          </w:tcPr>
          <w:p w14:paraId="6F740A7C" w14:textId="77777777" w:rsidR="00967EAA" w:rsidRPr="00967EAA" w:rsidRDefault="00967EAA" w:rsidP="00967EAA">
            <w:pPr>
              <w:spacing w:before="0" w:after="0"/>
            </w:pPr>
            <w:r w:rsidRPr="00967EAA">
              <w:t>A-6</w:t>
            </w:r>
          </w:p>
        </w:tc>
        <w:tc>
          <w:tcPr>
            <w:tcW w:w="13320" w:type="dxa"/>
          </w:tcPr>
          <w:p w14:paraId="51C33BAC" w14:textId="77777777" w:rsidR="00967EAA" w:rsidRPr="00967EAA" w:rsidRDefault="00967EAA" w:rsidP="00967EAA">
            <w:pPr>
              <w:spacing w:before="0" w:after="0"/>
            </w:pPr>
            <w:r w:rsidRPr="00967EAA">
              <w:t>Generally, achieving 100% reliability of anything is very costly</w:t>
            </w:r>
          </w:p>
        </w:tc>
      </w:tr>
      <w:tr w:rsidR="00967EAA" w:rsidRPr="00967EAA" w14:paraId="72D14B2B" w14:textId="77777777" w:rsidTr="00B46FDD">
        <w:tc>
          <w:tcPr>
            <w:tcW w:w="895" w:type="dxa"/>
          </w:tcPr>
          <w:p w14:paraId="0E54EDD8" w14:textId="77777777" w:rsidR="00967EAA" w:rsidRPr="00967EAA" w:rsidRDefault="00967EAA" w:rsidP="00967EAA">
            <w:pPr>
              <w:spacing w:before="0" w:after="0"/>
            </w:pPr>
            <w:r w:rsidRPr="00967EAA">
              <w:t>B-1</w:t>
            </w:r>
          </w:p>
        </w:tc>
        <w:tc>
          <w:tcPr>
            <w:tcW w:w="13320" w:type="dxa"/>
          </w:tcPr>
          <w:p w14:paraId="6B353223" w14:textId="77777777" w:rsidR="00967EAA" w:rsidRPr="00967EAA" w:rsidRDefault="00967EAA" w:rsidP="00967EAA">
            <w:pPr>
              <w:spacing w:before="0" w:after="0"/>
            </w:pPr>
            <w:r w:rsidRPr="00967EAA">
              <w:rPr>
                <w:lang w:val="en"/>
              </w:rPr>
              <w:t>Only minor negative impact from no prior consent for access, especially with accountability for BTG access provided by audit</w:t>
            </w:r>
          </w:p>
        </w:tc>
      </w:tr>
      <w:tr w:rsidR="00967EAA" w:rsidRPr="00967EAA" w14:paraId="6B243357" w14:textId="77777777" w:rsidTr="00B46FDD">
        <w:tc>
          <w:tcPr>
            <w:tcW w:w="895" w:type="dxa"/>
          </w:tcPr>
          <w:p w14:paraId="623DA489" w14:textId="77777777" w:rsidR="00967EAA" w:rsidRPr="00967EAA" w:rsidRDefault="00967EAA" w:rsidP="00967EAA">
            <w:pPr>
              <w:spacing w:before="0" w:after="0"/>
            </w:pPr>
            <w:r w:rsidRPr="00967EAA">
              <w:t>B-2</w:t>
            </w:r>
          </w:p>
        </w:tc>
        <w:tc>
          <w:tcPr>
            <w:tcW w:w="13320" w:type="dxa"/>
          </w:tcPr>
          <w:p w14:paraId="71DDF59B" w14:textId="77777777" w:rsidR="00967EAA" w:rsidRPr="00967EAA" w:rsidRDefault="00967EAA" w:rsidP="00967EAA">
            <w:pPr>
              <w:spacing w:before="0" w:after="0"/>
            </w:pPr>
            <w:r w:rsidRPr="00967EAA">
              <w:rPr>
                <w:lang w:val="en"/>
              </w:rPr>
              <w:t>Very minor compromise of consent especially if consent is granted in advance for unspecified emergency situations</w:t>
            </w:r>
          </w:p>
        </w:tc>
      </w:tr>
      <w:tr w:rsidR="00967EAA" w:rsidRPr="00967EAA" w14:paraId="626B4AB5" w14:textId="77777777" w:rsidTr="00B46FDD">
        <w:tc>
          <w:tcPr>
            <w:tcW w:w="895" w:type="dxa"/>
          </w:tcPr>
          <w:p w14:paraId="66D29082" w14:textId="77777777" w:rsidR="00967EAA" w:rsidRPr="00967EAA" w:rsidRDefault="00967EAA" w:rsidP="00967EAA">
            <w:pPr>
              <w:spacing w:before="0" w:after="0"/>
            </w:pPr>
            <w:r w:rsidRPr="00967EAA">
              <w:t>B-7</w:t>
            </w:r>
          </w:p>
        </w:tc>
        <w:tc>
          <w:tcPr>
            <w:tcW w:w="13320" w:type="dxa"/>
          </w:tcPr>
          <w:p w14:paraId="36FEA777" w14:textId="77777777" w:rsidR="00967EAA" w:rsidRPr="00967EAA" w:rsidRDefault="00967EAA" w:rsidP="00967EAA">
            <w:pPr>
              <w:spacing w:before="0" w:after="0"/>
            </w:pPr>
            <w:r w:rsidRPr="00967EAA">
              <w:rPr>
                <w:lang w:val="en"/>
              </w:rPr>
              <w:t>Good BTG implementation provides clear, quick path for appropriate emergency response</w:t>
            </w:r>
          </w:p>
        </w:tc>
      </w:tr>
      <w:tr w:rsidR="00967EAA" w:rsidRPr="00967EAA" w14:paraId="115DD463" w14:textId="77777777" w:rsidTr="00B46FDD">
        <w:tc>
          <w:tcPr>
            <w:tcW w:w="895" w:type="dxa"/>
          </w:tcPr>
          <w:p w14:paraId="491DF0B9" w14:textId="77777777" w:rsidR="00967EAA" w:rsidRPr="00967EAA" w:rsidRDefault="00967EAA" w:rsidP="00967EAA">
            <w:pPr>
              <w:spacing w:before="0" w:after="0"/>
            </w:pPr>
            <w:r w:rsidRPr="00967EAA">
              <w:t>C-2</w:t>
            </w:r>
          </w:p>
        </w:tc>
        <w:tc>
          <w:tcPr>
            <w:tcW w:w="13320" w:type="dxa"/>
          </w:tcPr>
          <w:p w14:paraId="1CA8C36C" w14:textId="77777777" w:rsidR="00967EAA" w:rsidRPr="00967EAA" w:rsidRDefault="00967EAA" w:rsidP="00967EAA">
            <w:pPr>
              <w:spacing w:before="0" w:after="0"/>
            </w:pPr>
            <w:r w:rsidRPr="00967EAA">
              <w:rPr>
                <w:lang w:val="en"/>
              </w:rPr>
              <w:t>Score based on interpreting NSTIC "Voluntary" principle as "providing maximizing user control" (not the original meaning, which was related to concern about Government-mandated “national IDs”)</w:t>
            </w:r>
          </w:p>
        </w:tc>
      </w:tr>
      <w:tr w:rsidR="00967EAA" w:rsidRPr="00967EAA" w14:paraId="15399458" w14:textId="77777777" w:rsidTr="00B46FDD">
        <w:tc>
          <w:tcPr>
            <w:tcW w:w="895" w:type="dxa"/>
          </w:tcPr>
          <w:p w14:paraId="57A99EBF" w14:textId="77777777" w:rsidR="00967EAA" w:rsidRPr="00967EAA" w:rsidRDefault="00967EAA" w:rsidP="00967EAA">
            <w:pPr>
              <w:spacing w:before="0" w:after="0"/>
            </w:pPr>
            <w:r w:rsidRPr="00967EAA">
              <w:t>C-3</w:t>
            </w:r>
          </w:p>
        </w:tc>
        <w:tc>
          <w:tcPr>
            <w:tcW w:w="13320" w:type="dxa"/>
          </w:tcPr>
          <w:p w14:paraId="213BFBDA" w14:textId="77777777" w:rsidR="00967EAA" w:rsidRPr="00967EAA" w:rsidRDefault="00967EAA" w:rsidP="00967EAA">
            <w:pPr>
              <w:spacing w:before="0" w:after="0"/>
            </w:pPr>
            <w:r w:rsidRPr="00967EAA">
              <w:rPr>
                <w:lang w:val="en"/>
              </w:rPr>
              <w:t>Providing relative anonymity may inhibit some authorized forensics but technology is available to implement with reasonable limitations</w:t>
            </w:r>
          </w:p>
        </w:tc>
      </w:tr>
      <w:tr w:rsidR="00967EAA" w:rsidRPr="00967EAA" w14:paraId="31474202" w14:textId="77777777" w:rsidTr="00B46FDD">
        <w:tc>
          <w:tcPr>
            <w:tcW w:w="895" w:type="dxa"/>
          </w:tcPr>
          <w:p w14:paraId="5CFCA5A5" w14:textId="77777777" w:rsidR="00967EAA" w:rsidRPr="00967EAA" w:rsidRDefault="00967EAA" w:rsidP="00967EAA">
            <w:pPr>
              <w:spacing w:before="0" w:after="0"/>
            </w:pPr>
            <w:r w:rsidRPr="00967EAA">
              <w:t>C-5</w:t>
            </w:r>
          </w:p>
        </w:tc>
        <w:tc>
          <w:tcPr>
            <w:tcW w:w="13320" w:type="dxa"/>
          </w:tcPr>
          <w:p w14:paraId="636B9530" w14:textId="77777777" w:rsidR="00967EAA" w:rsidRPr="00967EAA" w:rsidRDefault="00967EAA" w:rsidP="00967EAA">
            <w:pPr>
              <w:spacing w:before="0" w:after="0"/>
            </w:pPr>
            <w:r w:rsidRPr="00967EAA">
              <w:rPr>
                <w:lang w:val="en"/>
              </w:rPr>
              <w:t>Adds a requirement (meaning more complexity) for all participants considering supporting federated credentials</w:t>
            </w:r>
          </w:p>
        </w:tc>
      </w:tr>
      <w:tr w:rsidR="00967EAA" w:rsidRPr="00967EAA" w14:paraId="76206BC9" w14:textId="77777777" w:rsidTr="00B46FDD">
        <w:tc>
          <w:tcPr>
            <w:tcW w:w="895" w:type="dxa"/>
          </w:tcPr>
          <w:p w14:paraId="15BC0BF7" w14:textId="77777777" w:rsidR="00967EAA" w:rsidRPr="00967EAA" w:rsidRDefault="00967EAA" w:rsidP="00967EAA">
            <w:pPr>
              <w:spacing w:before="0" w:after="0"/>
            </w:pPr>
            <w:r w:rsidRPr="00967EAA">
              <w:t>C-6</w:t>
            </w:r>
          </w:p>
        </w:tc>
        <w:tc>
          <w:tcPr>
            <w:tcW w:w="13320" w:type="dxa"/>
          </w:tcPr>
          <w:p w14:paraId="6A23AFE9" w14:textId="77777777" w:rsidR="00967EAA" w:rsidRPr="00967EAA" w:rsidRDefault="00967EAA" w:rsidP="00967EAA">
            <w:pPr>
              <w:spacing w:before="0" w:after="0"/>
            </w:pPr>
            <w:r w:rsidRPr="00967EAA">
              <w:rPr>
                <w:lang w:val="en"/>
              </w:rPr>
              <w:t>Adds cost to implement for all federating participants</w:t>
            </w:r>
          </w:p>
        </w:tc>
      </w:tr>
      <w:tr w:rsidR="00967EAA" w:rsidRPr="00967EAA" w14:paraId="522797D7" w14:textId="77777777" w:rsidTr="00B46FDD">
        <w:tc>
          <w:tcPr>
            <w:tcW w:w="895" w:type="dxa"/>
          </w:tcPr>
          <w:p w14:paraId="54D3FEAC" w14:textId="77777777" w:rsidR="00967EAA" w:rsidRPr="00967EAA" w:rsidRDefault="00967EAA" w:rsidP="00967EAA">
            <w:pPr>
              <w:spacing w:before="0" w:after="0"/>
            </w:pPr>
            <w:r w:rsidRPr="00967EAA">
              <w:t>D-1</w:t>
            </w:r>
          </w:p>
        </w:tc>
        <w:tc>
          <w:tcPr>
            <w:tcW w:w="13320" w:type="dxa"/>
          </w:tcPr>
          <w:p w14:paraId="63DDE1AD" w14:textId="77777777" w:rsidR="00967EAA" w:rsidRPr="00967EAA" w:rsidRDefault="00967EAA" w:rsidP="00967EAA">
            <w:pPr>
              <w:spacing w:before="0" w:after="0"/>
            </w:pPr>
            <w:r w:rsidRPr="00967EAA">
              <w:rPr>
                <w:lang w:val="en"/>
              </w:rPr>
              <w:t>Provides accountability that will inhibit unauthorized info access (e.g. "browsing”)</w:t>
            </w:r>
          </w:p>
        </w:tc>
      </w:tr>
      <w:tr w:rsidR="00967EAA" w:rsidRPr="00967EAA" w14:paraId="11149496" w14:textId="77777777" w:rsidTr="00B46FDD">
        <w:tc>
          <w:tcPr>
            <w:tcW w:w="895" w:type="dxa"/>
          </w:tcPr>
          <w:p w14:paraId="53F905D2" w14:textId="77777777" w:rsidR="00967EAA" w:rsidRPr="00967EAA" w:rsidRDefault="00967EAA" w:rsidP="00967EAA">
            <w:pPr>
              <w:spacing w:before="0" w:after="0"/>
            </w:pPr>
            <w:r w:rsidRPr="00967EAA">
              <w:t>D-2</w:t>
            </w:r>
          </w:p>
        </w:tc>
        <w:tc>
          <w:tcPr>
            <w:tcW w:w="13320" w:type="dxa"/>
          </w:tcPr>
          <w:p w14:paraId="136126A7" w14:textId="77777777" w:rsidR="00967EAA" w:rsidRPr="00967EAA" w:rsidRDefault="00967EAA" w:rsidP="00967EAA">
            <w:pPr>
              <w:spacing w:before="0" w:after="0"/>
            </w:pPr>
            <w:r w:rsidRPr="00967EAA">
              <w:rPr>
                <w:lang w:val="en"/>
              </w:rPr>
              <w:t xml:space="preserve">Compromises anonymity, but technical and policy controls can assure any compromise is limited and accountable </w:t>
            </w:r>
          </w:p>
        </w:tc>
      </w:tr>
      <w:tr w:rsidR="00967EAA" w:rsidRPr="00967EAA" w14:paraId="4BEBCDFB" w14:textId="77777777" w:rsidTr="00B46FDD">
        <w:tc>
          <w:tcPr>
            <w:tcW w:w="895" w:type="dxa"/>
          </w:tcPr>
          <w:p w14:paraId="5D94EFA5" w14:textId="77777777" w:rsidR="00967EAA" w:rsidRPr="00967EAA" w:rsidRDefault="00967EAA" w:rsidP="00967EAA">
            <w:pPr>
              <w:spacing w:before="0" w:after="0"/>
            </w:pPr>
            <w:r w:rsidRPr="00967EAA">
              <w:t>D-4</w:t>
            </w:r>
          </w:p>
        </w:tc>
        <w:tc>
          <w:tcPr>
            <w:tcW w:w="13320" w:type="dxa"/>
          </w:tcPr>
          <w:p w14:paraId="35BA6CC7" w14:textId="77777777" w:rsidR="00967EAA" w:rsidRPr="00967EAA" w:rsidRDefault="00967EAA" w:rsidP="00967EAA">
            <w:pPr>
              <w:spacing w:before="0" w:after="0"/>
            </w:pPr>
            <w:r w:rsidRPr="00967EAA">
              <w:rPr>
                <w:lang w:val="en"/>
              </w:rPr>
              <w:t>Not the main resource for restoring data after a disaster or compromise but might contribute in some cases</w:t>
            </w:r>
          </w:p>
        </w:tc>
      </w:tr>
      <w:tr w:rsidR="00967EAA" w:rsidRPr="00967EAA" w14:paraId="0C1FFD81" w14:textId="77777777" w:rsidTr="00B46FDD">
        <w:tc>
          <w:tcPr>
            <w:tcW w:w="895" w:type="dxa"/>
          </w:tcPr>
          <w:p w14:paraId="3049FF29" w14:textId="77777777" w:rsidR="00967EAA" w:rsidRPr="00967EAA" w:rsidRDefault="00967EAA" w:rsidP="00967EAA">
            <w:pPr>
              <w:spacing w:before="0" w:after="0"/>
            </w:pPr>
            <w:r w:rsidRPr="00967EAA">
              <w:t>D-5</w:t>
            </w:r>
          </w:p>
        </w:tc>
        <w:tc>
          <w:tcPr>
            <w:tcW w:w="13320" w:type="dxa"/>
          </w:tcPr>
          <w:p w14:paraId="21CE8DBB" w14:textId="77777777" w:rsidR="00967EAA" w:rsidRPr="00967EAA" w:rsidRDefault="00967EAA" w:rsidP="00967EAA">
            <w:pPr>
              <w:spacing w:before="0" w:after="0"/>
            </w:pPr>
            <w:r w:rsidRPr="00967EAA">
              <w:rPr>
                <w:lang w:val="en"/>
              </w:rPr>
              <w:t>Small positive score for precise timestamping</w:t>
            </w:r>
          </w:p>
        </w:tc>
      </w:tr>
      <w:tr w:rsidR="00967EAA" w:rsidRPr="00967EAA" w14:paraId="28D85DA9" w14:textId="77777777" w:rsidTr="00B46FDD">
        <w:tc>
          <w:tcPr>
            <w:tcW w:w="895" w:type="dxa"/>
          </w:tcPr>
          <w:p w14:paraId="424CE4AD" w14:textId="77777777" w:rsidR="00967EAA" w:rsidRPr="00967EAA" w:rsidRDefault="00967EAA" w:rsidP="00967EAA">
            <w:pPr>
              <w:spacing w:before="0" w:after="0"/>
            </w:pPr>
            <w:r w:rsidRPr="00967EAA">
              <w:t>F-6</w:t>
            </w:r>
          </w:p>
        </w:tc>
        <w:tc>
          <w:tcPr>
            <w:tcW w:w="13320" w:type="dxa"/>
          </w:tcPr>
          <w:p w14:paraId="1AED9E23" w14:textId="77777777" w:rsidR="00967EAA" w:rsidRPr="00967EAA" w:rsidRDefault="00967EAA" w:rsidP="00967EAA">
            <w:pPr>
              <w:spacing w:before="0" w:after="0"/>
            </w:pPr>
            <w:r w:rsidRPr="00967EAA">
              <w:rPr>
                <w:lang w:val="en"/>
              </w:rPr>
              <w:t>Resilient systems are costly to implement and operate, but likely less costly than down-time of increasingly essential IT systems </w:t>
            </w:r>
          </w:p>
        </w:tc>
      </w:tr>
      <w:tr w:rsidR="00967EAA" w:rsidRPr="00967EAA" w14:paraId="14731B5D" w14:textId="77777777" w:rsidTr="00B46FDD">
        <w:tc>
          <w:tcPr>
            <w:tcW w:w="895" w:type="dxa"/>
          </w:tcPr>
          <w:p w14:paraId="0F8DF809" w14:textId="77777777" w:rsidR="00967EAA" w:rsidRPr="00967EAA" w:rsidRDefault="00967EAA" w:rsidP="00967EAA">
            <w:pPr>
              <w:spacing w:before="0" w:after="0"/>
            </w:pPr>
            <w:r w:rsidRPr="00967EAA">
              <w:t>H-1</w:t>
            </w:r>
          </w:p>
        </w:tc>
        <w:tc>
          <w:tcPr>
            <w:tcW w:w="13320" w:type="dxa"/>
          </w:tcPr>
          <w:p w14:paraId="54712A5D" w14:textId="77777777" w:rsidR="00967EAA" w:rsidRPr="00967EAA" w:rsidRDefault="00967EAA" w:rsidP="00967EAA">
            <w:pPr>
              <w:spacing w:before="0" w:after="0"/>
              <w:rPr>
                <w:lang w:val="en"/>
              </w:rPr>
            </w:pPr>
            <w:r w:rsidRPr="00967EAA">
              <w:rPr>
                <w:lang w:val="en"/>
              </w:rPr>
              <w:t xml:space="preserve">Positive score based on better protection of sensitive information.    </w:t>
            </w:r>
          </w:p>
        </w:tc>
      </w:tr>
      <w:tr w:rsidR="00967EAA" w:rsidRPr="00967EAA" w14:paraId="66FB404E" w14:textId="77777777" w:rsidTr="00B46FDD">
        <w:tc>
          <w:tcPr>
            <w:tcW w:w="895" w:type="dxa"/>
          </w:tcPr>
          <w:p w14:paraId="1EED6FA4" w14:textId="77777777" w:rsidR="00967EAA" w:rsidRPr="00967EAA" w:rsidRDefault="00967EAA" w:rsidP="00967EAA">
            <w:pPr>
              <w:spacing w:before="0" w:after="0"/>
            </w:pPr>
            <w:r w:rsidRPr="00967EAA">
              <w:t>H-5</w:t>
            </w:r>
          </w:p>
        </w:tc>
        <w:tc>
          <w:tcPr>
            <w:tcW w:w="13320" w:type="dxa"/>
          </w:tcPr>
          <w:p w14:paraId="15E0AA8A" w14:textId="77777777" w:rsidR="00967EAA" w:rsidRPr="00967EAA" w:rsidRDefault="00967EAA" w:rsidP="00967EAA">
            <w:pPr>
              <w:spacing w:before="0" w:after="0"/>
              <w:rPr>
                <w:lang w:val="en"/>
              </w:rPr>
            </w:pPr>
            <w:r w:rsidRPr="00967EAA">
              <w:rPr>
                <w:lang w:val="en"/>
              </w:rPr>
              <w:t xml:space="preserve">Well-defined standards-based proofing is essential for acceptance of federated ID credentials. </w:t>
            </w:r>
            <w:proofErr w:type="gramStart"/>
            <w:r w:rsidRPr="00967EAA">
              <w:rPr>
                <w:lang w:val="en"/>
              </w:rPr>
              <w:t>e.g</w:t>
            </w:r>
            <w:proofErr w:type="gramEnd"/>
            <w:r w:rsidRPr="00967EAA">
              <w:rPr>
                <w:lang w:val="en"/>
              </w:rPr>
              <w:t xml:space="preserve">. NIST 800-63-3 or later or prevailing standards  Should there be a private sector equivalent, simpler to understand and implement? Kantara could possibly help in this area. </w:t>
            </w:r>
          </w:p>
        </w:tc>
      </w:tr>
      <w:tr w:rsidR="00967EAA" w:rsidRPr="00967EAA" w14:paraId="25A6CB4F" w14:textId="77777777" w:rsidTr="00B46FDD">
        <w:tc>
          <w:tcPr>
            <w:tcW w:w="895" w:type="dxa"/>
          </w:tcPr>
          <w:p w14:paraId="4FDED7D0" w14:textId="77777777" w:rsidR="00967EAA" w:rsidRPr="00967EAA" w:rsidRDefault="00967EAA" w:rsidP="00967EAA">
            <w:pPr>
              <w:spacing w:before="0" w:after="0"/>
            </w:pPr>
            <w:r w:rsidRPr="00967EAA">
              <w:t>H-6</w:t>
            </w:r>
          </w:p>
        </w:tc>
        <w:tc>
          <w:tcPr>
            <w:tcW w:w="13320" w:type="dxa"/>
          </w:tcPr>
          <w:p w14:paraId="330A1A7C" w14:textId="77777777" w:rsidR="00967EAA" w:rsidRPr="00967EAA" w:rsidRDefault="00967EAA" w:rsidP="00967EAA">
            <w:pPr>
              <w:spacing w:before="0" w:after="0"/>
              <w:rPr>
                <w:lang w:val="en"/>
              </w:rPr>
            </w:pPr>
            <w:r w:rsidRPr="00967EAA">
              <w:rPr>
                <w:lang w:val="en"/>
              </w:rPr>
              <w:t>Meaningful ID proofing is more expensive than current “known-to-the-practice” process</w:t>
            </w:r>
          </w:p>
        </w:tc>
      </w:tr>
      <w:tr w:rsidR="00967EAA" w:rsidRPr="00967EAA" w14:paraId="3B5FBDA3" w14:textId="77777777" w:rsidTr="00B46FDD">
        <w:tc>
          <w:tcPr>
            <w:tcW w:w="895" w:type="dxa"/>
          </w:tcPr>
          <w:p w14:paraId="0AD25B63" w14:textId="77777777" w:rsidR="00967EAA" w:rsidRPr="00967EAA" w:rsidRDefault="00967EAA" w:rsidP="00967EAA">
            <w:pPr>
              <w:spacing w:before="0" w:after="0"/>
            </w:pPr>
            <w:r w:rsidRPr="00967EAA">
              <w:t>H-7</w:t>
            </w:r>
          </w:p>
        </w:tc>
        <w:tc>
          <w:tcPr>
            <w:tcW w:w="13320" w:type="dxa"/>
          </w:tcPr>
          <w:p w14:paraId="43089598" w14:textId="77777777" w:rsidR="00967EAA" w:rsidRPr="00967EAA" w:rsidRDefault="00967EAA" w:rsidP="00967EAA">
            <w:pPr>
              <w:spacing w:before="0" w:after="0"/>
              <w:rPr>
                <w:lang w:val="en"/>
              </w:rPr>
            </w:pPr>
            <w:r w:rsidRPr="00967EAA">
              <w:rPr>
                <w:lang w:val="en"/>
              </w:rPr>
              <w:t>Meaningful risk-appropriate ID proofing will likely make initial credential issuance a longer and more complicated process for user/subscribers – especially for healthcare-provider staff</w:t>
            </w:r>
          </w:p>
        </w:tc>
      </w:tr>
      <w:tr w:rsidR="00967EAA" w:rsidRPr="00967EAA" w14:paraId="326E41EE" w14:textId="77777777" w:rsidTr="00B46FDD">
        <w:tc>
          <w:tcPr>
            <w:tcW w:w="895" w:type="dxa"/>
          </w:tcPr>
          <w:p w14:paraId="62FAF2C0" w14:textId="77777777" w:rsidR="00967EAA" w:rsidRPr="00967EAA" w:rsidRDefault="00967EAA" w:rsidP="00967EAA">
            <w:pPr>
              <w:spacing w:before="0" w:after="0"/>
            </w:pPr>
            <w:r w:rsidRPr="00967EAA">
              <w:t>J-5</w:t>
            </w:r>
          </w:p>
        </w:tc>
        <w:tc>
          <w:tcPr>
            <w:tcW w:w="13320" w:type="dxa"/>
          </w:tcPr>
          <w:p w14:paraId="503F961A" w14:textId="77777777" w:rsidR="00967EAA" w:rsidRPr="00967EAA" w:rsidRDefault="00967EAA" w:rsidP="00967EAA">
            <w:pPr>
              <w:spacing w:before="0" w:after="0"/>
              <w:rPr>
                <w:lang w:val="en"/>
              </w:rPr>
            </w:pPr>
            <w:r w:rsidRPr="00967EAA">
              <w:rPr>
                <w:lang w:val="en"/>
              </w:rPr>
              <w:t>Effective redress procedures provide the basis for “trust” relationships among participants in a federated environment</w:t>
            </w:r>
          </w:p>
        </w:tc>
      </w:tr>
    </w:tbl>
    <w:p w14:paraId="4AE4232C" w14:textId="77777777" w:rsidR="00967EAA" w:rsidRPr="00967EAA" w:rsidRDefault="00967EAA" w:rsidP="00967EAA">
      <w:pPr>
        <w:spacing w:before="0" w:after="0"/>
      </w:pPr>
    </w:p>
    <w:p w14:paraId="772EE68F" w14:textId="77777777" w:rsidR="0061421F" w:rsidRDefault="0061421F">
      <w:pPr>
        <w:spacing w:before="0" w:after="0"/>
        <w:rPr>
          <w:rFonts w:cs="Arial"/>
          <w:b/>
          <w:caps/>
          <w:sz w:val="32"/>
          <w:szCs w:val="32"/>
        </w:rPr>
      </w:pPr>
    </w:p>
    <w:p w14:paraId="4AA42437" w14:textId="77777777" w:rsidR="00A36B9D" w:rsidRDefault="00A36B9D" w:rsidP="002B513E">
      <w:pPr>
        <w:pStyle w:val="Heading1"/>
        <w:sectPr w:rsidR="00A36B9D" w:rsidSect="00A36B9D">
          <w:pgSz w:w="15842" w:h="12242" w:orient="landscape" w:code="1"/>
          <w:pgMar w:top="1800" w:right="720" w:bottom="1440" w:left="1440" w:header="720" w:footer="619" w:gutter="0"/>
          <w:cols w:space="720"/>
          <w:titlePg/>
          <w:docGrid w:linePitch="299"/>
        </w:sectPr>
      </w:pPr>
    </w:p>
    <w:p w14:paraId="3712F83C" w14:textId="1744EF7C" w:rsidR="009A26A9" w:rsidRDefault="0061421F" w:rsidP="002B513E">
      <w:pPr>
        <w:pStyle w:val="Heading1"/>
      </w:pPr>
      <w:r>
        <w:lastRenderedPageBreak/>
        <w:t>Patient choice</w:t>
      </w:r>
    </w:p>
    <w:p w14:paraId="66B68CC0" w14:textId="77777777" w:rsidR="0061421F" w:rsidRPr="0061421F" w:rsidRDefault="0061421F" w:rsidP="0061421F">
      <w:pPr>
        <w:pStyle w:val="BodyText"/>
      </w:pPr>
    </w:p>
    <w:p w14:paraId="6E9CAFD7" w14:textId="77777777" w:rsidR="0061421F" w:rsidRPr="0061421F" w:rsidRDefault="0061421F" w:rsidP="0061421F">
      <w:pPr>
        <w:pStyle w:val="BodyText"/>
      </w:pPr>
      <w:bookmarkStart w:id="10" w:name="Section2"/>
      <w:bookmarkStart w:id="11" w:name="table21"/>
      <w:bookmarkStart w:id="12" w:name="table22"/>
      <w:bookmarkStart w:id="13" w:name="Section3"/>
      <w:bookmarkStart w:id="14" w:name="_Common_Organizational_Service"/>
      <w:bookmarkStart w:id="15" w:name="_Toc92878721"/>
      <w:bookmarkStart w:id="16" w:name="_Toc92878723"/>
      <w:bookmarkStart w:id="17" w:name="_Toc92878727"/>
      <w:bookmarkStart w:id="18" w:name="_Toc92878729"/>
      <w:bookmarkStart w:id="19" w:name="_Toc92878735"/>
      <w:bookmarkStart w:id="20" w:name="_Toc92878744"/>
      <w:bookmarkStart w:id="21" w:name="_Toc92878753"/>
      <w:bookmarkStart w:id="22" w:name="_Toc92878762"/>
      <w:bookmarkStart w:id="23" w:name="_Identity_Proofing_Service"/>
      <w:bookmarkStart w:id="24" w:name="_Policy_"/>
      <w:bookmarkStart w:id="25" w:name="_In-Person_Public_Verification_"/>
      <w:bookmarkStart w:id="26" w:name="_Remote_Public_Verification_"/>
      <w:bookmarkStart w:id="27" w:name="_Secondary_Verification_"/>
      <w:bookmarkStart w:id="28" w:name="_Policy"/>
      <w:bookmarkStart w:id="29" w:name="_In-Person_Public_Verification"/>
      <w:bookmarkStart w:id="30" w:name="_Remote_Public_Verification"/>
      <w:bookmarkStart w:id="31" w:name="_Current_Relationship_Verification"/>
      <w:bookmarkStart w:id="32" w:name="_Affiliation_Verification"/>
      <w:bookmarkStart w:id="33" w:name="_Secondary_Verification"/>
      <w:bookmarkStart w:id="34" w:name="_Verification_Records"/>
      <w:bookmarkStart w:id="35" w:name="_Policy_1"/>
      <w:bookmarkStart w:id="36" w:name="_In-Person_Public_Verification_1"/>
      <w:bookmarkStart w:id="37" w:name="_Remote_Public_Verification_1"/>
      <w:bookmarkStart w:id="38" w:name="_Affiliation_Verification_1"/>
      <w:bookmarkStart w:id="39" w:name="_Secondary_Verification_1"/>
      <w:bookmarkStart w:id="40" w:name="_Verification_Records_1"/>
      <w:bookmarkStart w:id="41" w:name="_Policy_2"/>
      <w:bookmarkStart w:id="42" w:name="_In-Person_Public_Verification_2"/>
      <w:bookmarkStart w:id="43" w:name="_Affiliation_Verification_2"/>
      <w:bookmarkStart w:id="44" w:name="_Secondary_Verification_2"/>
      <w:bookmarkStart w:id="45" w:name="_Verification_Records_2"/>
      <w:bookmarkStart w:id="46" w:name="_Credential_Management_Service"/>
      <w:bookmarkStart w:id="47" w:name="_Credential_Policy_and"/>
      <w:bookmarkStart w:id="48" w:name="_Security_Controls"/>
      <w:bookmarkStart w:id="49" w:name="_Storage_of_Long-term"/>
      <w:bookmarkStart w:id="50" w:name="_Subject_Options"/>
      <w:bookmarkStart w:id="51" w:name="_Credential_Policy_&amp;"/>
      <w:bookmarkStart w:id="52" w:name="_Security_Controls_1"/>
      <w:bookmarkStart w:id="53" w:name="_Storage_of_Long-term_1"/>
      <w:bookmarkStart w:id="54" w:name="_Subject_Options_1"/>
      <w:bookmarkStart w:id="55" w:name="_Credential_Policy_&amp;_1"/>
      <w:bookmarkStart w:id="56" w:name="_Security_Controls_2"/>
      <w:bookmarkStart w:id="57" w:name="_Storage_of_Long-term_2"/>
      <w:bookmarkStart w:id="58" w:name="_Security-relevant_Event_(Audit)"/>
      <w:bookmarkStart w:id="59" w:name="_Subject_options_2"/>
      <w:bookmarkStart w:id="60" w:name="_Certification_Policy_and"/>
      <w:bookmarkStart w:id="61" w:name="_Security_Controls_3"/>
      <w:bookmarkStart w:id="62" w:name="_Storage_of_Long-term_3"/>
      <w:bookmarkStart w:id="63" w:name="_Security-relevant_Event_(Audit)_1"/>
      <w:bookmarkStart w:id="64" w:name="_Subject_Options_3"/>
      <w:bookmarkStart w:id="65" w:name="_Identity_Proofing"/>
      <w:bookmarkStart w:id="66" w:name="_Credential_Creation"/>
      <w:bookmarkStart w:id="67" w:name="_Identity_Proofing_1"/>
      <w:bookmarkStart w:id="68" w:name="_Credential_Creation_1"/>
      <w:bookmarkStart w:id="69" w:name="_Credential_Delivery"/>
      <w:bookmarkStart w:id="70" w:name="_Toc464682489"/>
      <w:bookmarkStart w:id="71" w:name="_Toc464682788"/>
      <w:bookmarkStart w:id="72" w:name="_Toc463268813"/>
      <w:bookmarkStart w:id="73" w:name="_Toc463268954"/>
      <w:bookmarkStart w:id="74" w:name="_Toc463269063"/>
      <w:bookmarkStart w:id="75" w:name="_Toc463269172"/>
      <w:bookmarkStart w:id="76" w:name="_Toc463268822"/>
      <w:bookmarkStart w:id="77" w:name="_Toc463268832"/>
      <w:bookmarkStart w:id="78" w:name="_Toc464682492"/>
      <w:bookmarkStart w:id="79" w:name="_Toc464682791"/>
      <w:bookmarkStart w:id="80" w:name="_Toc464682495"/>
      <w:bookmarkStart w:id="81" w:name="_Toc464682794"/>
      <w:bookmarkStart w:id="82" w:name="_Toc463268849"/>
      <w:bookmarkStart w:id="83" w:name="_Toc463268960"/>
      <w:bookmarkStart w:id="84" w:name="_Toc463269069"/>
      <w:bookmarkStart w:id="85" w:name="_Toc463269178"/>
      <w:bookmarkStart w:id="86" w:name="_Toc463268858"/>
      <w:bookmarkStart w:id="87" w:name="_Toc463268969"/>
      <w:bookmarkStart w:id="88" w:name="_Toc463269078"/>
      <w:bookmarkStart w:id="89" w:name="_Toc463269187"/>
      <w:bookmarkStart w:id="90" w:name="h.vh3zh1cknyjh" w:colFirst="0" w:colLast="0"/>
      <w:bookmarkStart w:id="91" w:name="h.9dgk8zt1hkol" w:colFirst="0" w:colLast="0"/>
      <w:bookmarkStart w:id="92" w:name="h.gggpr7isqv7t" w:colFirst="0" w:colLast="0"/>
      <w:bookmarkStart w:id="93" w:name="h.gjksfxlq93il" w:colFirst="0" w:colLast="0"/>
      <w:bookmarkStart w:id="94" w:name="h.dqy08bik76ej" w:colFirst="0" w:colLast="0"/>
      <w:bookmarkStart w:id="95" w:name="h.2yif71ask74a" w:colFirst="0" w:colLast="0"/>
      <w:bookmarkStart w:id="96" w:name="h.imn0d5iw8c11" w:colFirst="0" w:colLast="0"/>
      <w:bookmarkStart w:id="97" w:name="h.jldkoahlgtzh" w:colFirst="0" w:colLast="0"/>
      <w:bookmarkStart w:id="98" w:name="h.qlkqttsm1npk" w:colFirst="0" w:colLast="0"/>
      <w:bookmarkStart w:id="99" w:name="h.z4j7zs7qn3no" w:colFirst="0" w:colLast="0"/>
      <w:bookmarkStart w:id="100" w:name="h.xq0moqi4goyx" w:colFirst="0" w:colLast="0"/>
      <w:bookmarkStart w:id="101" w:name="h.q6cgphsq5c8q" w:colFirst="0" w:colLast="0"/>
      <w:bookmarkStart w:id="102" w:name="h.6yll1564gjm9" w:colFirst="0" w:colLast="0"/>
      <w:bookmarkStart w:id="103" w:name="h.3dkeip5xsv7z" w:colFirst="0" w:colLast="0"/>
      <w:bookmarkStart w:id="104" w:name="h.zda26dhzqlqi" w:colFirst="0" w:colLast="0"/>
      <w:bookmarkStart w:id="105" w:name="h.1wz8cl1bl71r" w:colFirst="0" w:colLast="0"/>
      <w:bookmarkStart w:id="106" w:name="h.euwa2rup8a4q" w:colFirst="0" w:colLast="0"/>
      <w:bookmarkStart w:id="107" w:name="h.6hd1lw7wtkev" w:colFirst="0" w:colLast="0"/>
      <w:bookmarkStart w:id="108" w:name="h.u8jxmxomox07" w:colFirst="0" w:colLast="0"/>
      <w:bookmarkStart w:id="109" w:name="h.9gi0fxlhrrav" w:colFirst="0" w:colLast="0"/>
      <w:bookmarkStart w:id="110" w:name="_Toc466036717"/>
      <w:bookmarkStart w:id="111" w:name="_Toc466036736"/>
      <w:bookmarkStart w:id="112" w:name="_Toc466036771"/>
      <w:bookmarkStart w:id="113" w:name="h.5ux5tb8jdryv" w:colFirst="0" w:colLast="0"/>
      <w:bookmarkStart w:id="114" w:name="h.pqjx6vz2if0u" w:colFirst="0" w:colLast="0"/>
      <w:bookmarkStart w:id="115" w:name="h.n52bxpyiqq55" w:colFirst="0" w:colLast="0"/>
      <w:bookmarkStart w:id="116" w:name="_Toc464495066"/>
      <w:bookmarkStart w:id="117" w:name="_Toc464635302"/>
      <w:bookmarkStart w:id="118" w:name="_Toc464635596"/>
      <w:bookmarkStart w:id="119" w:name="_Toc464635707"/>
      <w:bookmarkStart w:id="120" w:name="_Toc464682507"/>
      <w:bookmarkStart w:id="121" w:name="_Toc464682806"/>
      <w:bookmarkStart w:id="122" w:name="_Toc464495067"/>
      <w:bookmarkStart w:id="123" w:name="_Toc464635303"/>
      <w:bookmarkStart w:id="124" w:name="_Toc464635597"/>
      <w:bookmarkStart w:id="125" w:name="_Toc464635708"/>
      <w:bookmarkStart w:id="126" w:name="_Toc464682508"/>
      <w:bookmarkStart w:id="127" w:name="_Toc464682807"/>
      <w:bookmarkStart w:id="128" w:name="_Toc464495068"/>
      <w:bookmarkStart w:id="129" w:name="_Toc464635304"/>
      <w:bookmarkStart w:id="130" w:name="_Toc464635598"/>
      <w:bookmarkStart w:id="131" w:name="_Toc464635709"/>
      <w:bookmarkStart w:id="132" w:name="_Toc464682509"/>
      <w:bookmarkStart w:id="133" w:name="_Toc464682808"/>
      <w:bookmarkStart w:id="134" w:name="_Toc464495069"/>
      <w:bookmarkStart w:id="135" w:name="_Toc464635305"/>
      <w:bookmarkStart w:id="136" w:name="_Toc464635599"/>
      <w:bookmarkStart w:id="137" w:name="_Toc464635710"/>
      <w:bookmarkStart w:id="138" w:name="_Toc464682510"/>
      <w:bookmarkStart w:id="139" w:name="_Toc464682809"/>
      <w:bookmarkStart w:id="140" w:name="_Toc464495155"/>
      <w:bookmarkStart w:id="141" w:name="_Toc464635391"/>
      <w:bookmarkStart w:id="142" w:name="_Toc464635685"/>
      <w:bookmarkStart w:id="143" w:name="_Toc464635796"/>
      <w:bookmarkStart w:id="144" w:name="_Toc464682596"/>
      <w:bookmarkStart w:id="145" w:name="_Toc464682895"/>
      <w:bookmarkStart w:id="146" w:name="_Toc464495156"/>
      <w:bookmarkStart w:id="147" w:name="_Toc464635392"/>
      <w:bookmarkStart w:id="148" w:name="_Toc464635686"/>
      <w:bookmarkStart w:id="149" w:name="_Toc464635797"/>
      <w:bookmarkStart w:id="150" w:name="_Toc464682597"/>
      <w:bookmarkStart w:id="151" w:name="_Toc464682896"/>
      <w:bookmarkStart w:id="152" w:name="_Toc463268870"/>
      <w:bookmarkStart w:id="153" w:name="_Toc463268981"/>
      <w:bookmarkStart w:id="154" w:name="_Toc463269090"/>
      <w:bookmarkStart w:id="155" w:name="_Toc463269199"/>
      <w:bookmarkEnd w:id="7"/>
      <w:bookmarkEnd w:id="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61421F">
        <w:t>The options that a patient should have in accessing and sharing their </w:t>
      </w:r>
      <w:hyperlink r:id="rId18" w:history="1">
        <w:r w:rsidRPr="0061421F">
          <w:rPr>
            <w:rStyle w:val="Hyperlink"/>
          </w:rPr>
          <w:t>Protected Health Information (PHI)</w:t>
        </w:r>
      </w:hyperlink>
      <w:r w:rsidRPr="0061421F">
        <w:t> with trusted medical providers.</w:t>
      </w:r>
    </w:p>
    <w:p w14:paraId="0C12C17F" w14:textId="14F91B82" w:rsidR="0061421F" w:rsidRPr="0061421F" w:rsidRDefault="0061421F" w:rsidP="0061421F">
      <w:pPr>
        <w:pStyle w:val="Heading2"/>
      </w:pPr>
      <w:r w:rsidRPr="0061421F">
        <w:t>Source</w:t>
      </w:r>
    </w:p>
    <w:p w14:paraId="4695D850" w14:textId="77777777" w:rsidR="0061421F" w:rsidRPr="0061421F" w:rsidRDefault="0061421F" w:rsidP="0061421F">
      <w:pPr>
        <w:pStyle w:val="BodyText"/>
      </w:pPr>
      <w:r w:rsidRPr="0061421F">
        <w:t>The Federated Identifiers for Resilient Ecosystems Work Group of the Kantara Initiative.</w:t>
      </w:r>
    </w:p>
    <w:p w14:paraId="208ADDEF" w14:textId="6FA08F68" w:rsidR="0061421F" w:rsidRPr="0061421F" w:rsidRDefault="0061421F" w:rsidP="0061421F">
      <w:pPr>
        <w:pStyle w:val="Heading2"/>
      </w:pPr>
      <w:r>
        <w:t>Context</w:t>
      </w:r>
    </w:p>
    <w:p w14:paraId="0A70D446" w14:textId="77777777" w:rsidR="0061421F" w:rsidRPr="0061421F" w:rsidRDefault="0061421F" w:rsidP="00EF7788">
      <w:pPr>
        <w:pStyle w:val="BodyText"/>
        <w:numPr>
          <w:ilvl w:val="0"/>
          <w:numId w:val="9"/>
        </w:numPr>
      </w:pPr>
      <w:r w:rsidRPr="0061421F">
        <w:t>The major context for this page is an environment where user's private data is treated like a commodity to be bought and sold. These two postings in the Sunday New York Times on 2020-01-26 demonstrate conclusively that a </w:t>
      </w:r>
      <w:hyperlink r:id="rId19" w:tooltip="Trustworthy Healthcare Ecosystem" w:history="1">
        <w:r w:rsidRPr="0061421F">
          <w:rPr>
            <w:rStyle w:val="Hyperlink"/>
          </w:rPr>
          <w:t>Trustworthy Healthcare Ecosystem</w:t>
        </w:r>
      </w:hyperlink>
      <w:r w:rsidRPr="0061421F">
        <w:t> requires more attention to the handling of healthcare data that is common at this time:</w:t>
      </w:r>
    </w:p>
    <w:p w14:paraId="258C289E" w14:textId="77777777" w:rsidR="0061421F" w:rsidRPr="0061421F" w:rsidRDefault="0061421F" w:rsidP="00EF7788">
      <w:pPr>
        <w:pStyle w:val="BodyText"/>
        <w:numPr>
          <w:ilvl w:val="1"/>
          <w:numId w:val="9"/>
        </w:numPr>
      </w:pPr>
      <w:r w:rsidRPr="0061421F">
        <w:t>The report on </w:t>
      </w:r>
      <w:r w:rsidRPr="0061421F">
        <w:rPr>
          <w:b/>
          <w:bCs/>
        </w:rPr>
        <w:t>The Secretive Company That Might End Privacy as we Know it</w:t>
      </w:r>
      <w:r w:rsidRPr="0061421F">
        <w:t> received more reader attention than any reports on the Impeachment trial of the President or even the tribulations of the Duke and Duchess of Sussex.</w:t>
      </w:r>
    </w:p>
    <w:p w14:paraId="0CFF0F2A" w14:textId="77777777" w:rsidR="0061421F" w:rsidRPr="0061421F" w:rsidRDefault="0061421F" w:rsidP="00EF7788">
      <w:pPr>
        <w:pStyle w:val="BodyText"/>
        <w:numPr>
          <w:ilvl w:val="1"/>
          <w:numId w:val="9"/>
        </w:numPr>
      </w:pPr>
      <w:r w:rsidRPr="0061421F">
        <w:t>An entire section of the paper </w:t>
      </w:r>
      <w:r w:rsidRPr="0061421F">
        <w:rPr>
          <w:b/>
          <w:bCs/>
        </w:rPr>
        <w:t>"One Nation, Tracked"</w:t>
      </w:r>
      <w:r w:rsidRPr="0061421F">
        <w:t> describing </w:t>
      </w:r>
      <w:r w:rsidRPr="0061421F">
        <w:rPr>
          <w:b/>
          <w:bCs/>
        </w:rPr>
        <w:t>"The Smartphone Data Collection Industry"</w:t>
      </w:r>
      <w:r w:rsidRPr="0061421F">
        <w:t> showed conclusively that we cannot trust the phone apps that brought us to this point.</w:t>
      </w:r>
    </w:p>
    <w:p w14:paraId="2FF588F6" w14:textId="77777777" w:rsidR="0061421F" w:rsidRPr="0061421F" w:rsidRDefault="0061421F" w:rsidP="00EF7788">
      <w:pPr>
        <w:pStyle w:val="BodyText"/>
        <w:numPr>
          <w:ilvl w:val="0"/>
          <w:numId w:val="9"/>
        </w:numPr>
      </w:pPr>
      <w:r w:rsidRPr="0061421F">
        <w:t>This pattern is a sub-set of the </w:t>
      </w:r>
      <w:hyperlink r:id="rId20" w:tooltip="User Choice Pattern" w:history="1">
        <w:r w:rsidRPr="0061421F">
          <w:rPr>
            <w:rStyle w:val="Hyperlink"/>
          </w:rPr>
          <w:t>User Choice Pattern</w:t>
        </w:r>
      </w:hyperlink>
      <w:r w:rsidRPr="0061421F">
        <w:t> which covers the general user choice issues. It contains the general context and should be read in conjunction with this page.</w:t>
      </w:r>
    </w:p>
    <w:p w14:paraId="799422E0" w14:textId="77777777" w:rsidR="0061421F" w:rsidRPr="0061421F" w:rsidRDefault="0061421F" w:rsidP="00EF7788">
      <w:pPr>
        <w:pStyle w:val="BodyText"/>
        <w:numPr>
          <w:ilvl w:val="0"/>
          <w:numId w:val="9"/>
        </w:numPr>
      </w:pPr>
      <w:r w:rsidRPr="0061421F">
        <w:t>This document assumes that the *</w:t>
      </w:r>
      <w:hyperlink r:id="rId21" w:history="1">
        <w:r w:rsidRPr="0061421F">
          <w:rPr>
            <w:rStyle w:val="Hyperlink"/>
          </w:rPr>
          <w:t>Trusted Exchange Framework and Common Agreement (TEFCA) Draft 2</w:t>
        </w:r>
      </w:hyperlink>
      <w:r w:rsidRPr="0061421F">
        <w:t> (2019-04-19) will apply. From that it assumes that some means must be found for level 2 authentication of patients that will not be faced with the same rejection as was evidenced in earlier attempts at TLS client authentication.</w:t>
      </w:r>
    </w:p>
    <w:p w14:paraId="430ADF97" w14:textId="77777777" w:rsidR="0061421F" w:rsidRPr="0061421F" w:rsidRDefault="0061421F" w:rsidP="00EF7788">
      <w:pPr>
        <w:pStyle w:val="BodyText"/>
        <w:numPr>
          <w:ilvl w:val="0"/>
          <w:numId w:val="9"/>
        </w:numPr>
      </w:pPr>
      <w:r w:rsidRPr="0061421F">
        <w:t>Patient choice is acclaimed by existing health care solutions, often as a means for the providers to avoid the responsibility for making good, but tough, clinical and security decisions which might possibly result in bad outcomes and liability to large tort actions. If the blame can be placed on the patient, the care provider might avoid lawsuits.</w:t>
      </w:r>
    </w:p>
    <w:p w14:paraId="13307335" w14:textId="77777777" w:rsidR="0061421F" w:rsidRPr="0061421F" w:rsidRDefault="0061421F" w:rsidP="00EF7788">
      <w:pPr>
        <w:pStyle w:val="BodyText"/>
        <w:numPr>
          <w:ilvl w:val="0"/>
          <w:numId w:val="9"/>
        </w:numPr>
      </w:pPr>
      <w:r w:rsidRPr="0061421F">
        <w:t>For a long time, </w:t>
      </w:r>
      <w:r w:rsidRPr="0061421F">
        <w:rPr>
          <w:b/>
          <w:bCs/>
        </w:rPr>
        <w:t>actual</w:t>
      </w:r>
      <w:r w:rsidRPr="0061421F">
        <w:t> patient choice has been ignored. Now that more enterprises have found that patients will not use products that they don't like or don't trust, every enterprise is claiming that their applications preserve patient choice. The reality does not quite live up to their claims.</w:t>
      </w:r>
    </w:p>
    <w:p w14:paraId="44C07971" w14:textId="77777777" w:rsidR="0061421F" w:rsidRPr="0061421F" w:rsidRDefault="0061421F" w:rsidP="00EF7788">
      <w:pPr>
        <w:pStyle w:val="BodyText"/>
        <w:numPr>
          <w:ilvl w:val="0"/>
          <w:numId w:val="9"/>
        </w:numPr>
      </w:pPr>
      <w:r w:rsidRPr="0061421F">
        <w:t>To understand what applications will satisfy patients, we cannot rely on enterprises that peddle solutions, we need to give the patients information about their choices and only then ask the patients what is really important to them.</w:t>
      </w:r>
    </w:p>
    <w:p w14:paraId="26FFBEF1" w14:textId="72F0785A" w:rsidR="0061421F" w:rsidRPr="0061421F" w:rsidRDefault="0061421F" w:rsidP="0061421F">
      <w:pPr>
        <w:pStyle w:val="BodyText"/>
      </w:pPr>
      <w:r w:rsidRPr="0061421F">
        <w:t xml:space="preserve">The term "enterprise" is used </w:t>
      </w:r>
      <w:r w:rsidR="006E2A6C">
        <w:t>in this document</w:t>
      </w:r>
      <w:r w:rsidRPr="0061421F">
        <w:t xml:space="preserve"> to include all purveyors of health care solutions from governments and non-profits to profit making companies.</w:t>
      </w:r>
    </w:p>
    <w:p w14:paraId="3C4CE3B1" w14:textId="67777EA3" w:rsidR="0061421F" w:rsidRPr="0061421F" w:rsidRDefault="0061421F" w:rsidP="0061421F">
      <w:pPr>
        <w:pStyle w:val="Heading2"/>
      </w:pPr>
      <w:r w:rsidRPr="0061421F">
        <w:lastRenderedPageBreak/>
        <w:t>Problems</w:t>
      </w:r>
    </w:p>
    <w:p w14:paraId="6CC7C35B" w14:textId="77777777" w:rsidR="0061421F" w:rsidRPr="0061421F" w:rsidRDefault="0061421F" w:rsidP="00EF7788">
      <w:pPr>
        <w:pStyle w:val="BodyText"/>
        <w:numPr>
          <w:ilvl w:val="0"/>
          <w:numId w:val="10"/>
        </w:numPr>
      </w:pPr>
      <w:r w:rsidRPr="0061421F">
        <w:t>Patients have all expressed a desire to control what and where they share their </w:t>
      </w:r>
      <w:hyperlink r:id="rId22" w:history="1">
        <w:r w:rsidRPr="0061421F">
          <w:rPr>
            <w:rStyle w:val="Hyperlink"/>
          </w:rPr>
          <w:t>Protected Health Information (PHI)</w:t>
        </w:r>
      </w:hyperlink>
      <w:r w:rsidRPr="0061421F">
        <w:t>.</w:t>
      </w:r>
    </w:p>
    <w:p w14:paraId="469E73E4" w14:textId="77777777" w:rsidR="0061421F" w:rsidRPr="0061421F" w:rsidRDefault="0061421F" w:rsidP="00EF7788">
      <w:pPr>
        <w:pStyle w:val="BodyText"/>
        <w:numPr>
          <w:ilvl w:val="0"/>
          <w:numId w:val="10"/>
        </w:numPr>
      </w:pPr>
      <w:r w:rsidRPr="0061421F">
        <w:t>Patients also ask to have control of the applications that run on their smartphones particularly with respect to the way that they handle user private information and the way that they intrude on the attention of the user.</w:t>
      </w:r>
    </w:p>
    <w:p w14:paraId="47D0D927" w14:textId="77777777" w:rsidR="0061421F" w:rsidRPr="0061421F" w:rsidRDefault="0061421F" w:rsidP="00EF7788">
      <w:pPr>
        <w:pStyle w:val="BodyText"/>
        <w:numPr>
          <w:ilvl w:val="0"/>
          <w:numId w:val="10"/>
        </w:numPr>
      </w:pPr>
      <w:r w:rsidRPr="0061421F">
        <w:t>If the patient chooses an application for their smartphone that downloads PHI, then that application has complete control over where that data goes.</w:t>
      </w:r>
    </w:p>
    <w:p w14:paraId="32279984" w14:textId="02DCC03C" w:rsidR="0061421F" w:rsidRPr="0061421F" w:rsidRDefault="0061421F" w:rsidP="00EF7788">
      <w:pPr>
        <w:pStyle w:val="BodyText"/>
        <w:numPr>
          <w:ilvl w:val="0"/>
          <w:numId w:val="10"/>
        </w:numPr>
      </w:pPr>
      <w:r w:rsidRPr="0061421F">
        <w:t xml:space="preserve">If the healthcare community decides to allow any smartphone application that the patient chooses to install on the smartphone, then the patient is at risk to </w:t>
      </w:r>
      <w:r w:rsidR="00484317" w:rsidRPr="0061421F">
        <w:t>lose</w:t>
      </w:r>
      <w:r w:rsidRPr="0061421F">
        <w:t xml:space="preserve"> control of their PHI.</w:t>
      </w:r>
    </w:p>
    <w:p w14:paraId="34392975" w14:textId="2359FBB8" w:rsidR="0061421F" w:rsidRDefault="0061421F" w:rsidP="00EF7788">
      <w:pPr>
        <w:pStyle w:val="BodyText"/>
        <w:numPr>
          <w:ilvl w:val="0"/>
          <w:numId w:val="10"/>
        </w:numPr>
      </w:pPr>
      <w:r w:rsidRPr="0061421F">
        <w:t xml:space="preserve">If the patient chooses to upload their PHI to just any web site without knowledge of that sites' controls, then the patient is at risk to </w:t>
      </w:r>
      <w:r w:rsidR="00484317" w:rsidRPr="0061421F">
        <w:t>lose</w:t>
      </w:r>
      <w:r w:rsidRPr="0061421F">
        <w:t xml:space="preserve"> control of their PHI.</w:t>
      </w:r>
    </w:p>
    <w:p w14:paraId="5D2DCF54" w14:textId="5CAA0DCC" w:rsidR="002C0042" w:rsidRPr="0061421F" w:rsidRDefault="002C0042" w:rsidP="00EF7788">
      <w:pPr>
        <w:pStyle w:val="BodyText"/>
        <w:numPr>
          <w:ilvl w:val="0"/>
          <w:numId w:val="10"/>
        </w:numPr>
      </w:pPr>
      <w:r>
        <w:rPr>
          <w:rFonts w:cs="Arial"/>
          <w:color w:val="252525"/>
          <w:sz w:val="21"/>
          <w:szCs w:val="21"/>
          <w:shd w:val="clear" w:color="auto" w:fill="FFFFFF"/>
        </w:rPr>
        <w:t xml:space="preserve">Without some other trust mark on the app, it is very difficult for the patient to determine if the app is covered by HIPAA. "If you see the term 'we are HIPAA-compliant', the basic rule of thumb is the program does not fall under HIPAA" from Pam Dixon, executive director of the World Privacy Forum as quoted by </w:t>
      </w:r>
      <w:proofErr w:type="spellStart"/>
      <w:r>
        <w:rPr>
          <w:rFonts w:cs="Arial"/>
          <w:color w:val="252525"/>
          <w:sz w:val="21"/>
          <w:szCs w:val="21"/>
          <w:shd w:val="clear" w:color="auto" w:fill="FFFFFF"/>
        </w:rPr>
        <w:t>Thorin</w:t>
      </w:r>
      <w:proofErr w:type="spellEnd"/>
      <w:r>
        <w:rPr>
          <w:rFonts w:cs="Arial"/>
          <w:color w:val="252525"/>
          <w:sz w:val="21"/>
          <w:szCs w:val="21"/>
          <w:shd w:val="clear" w:color="auto" w:fill="FFFFFF"/>
        </w:rPr>
        <w:t xml:space="preserve"> </w:t>
      </w:r>
      <w:proofErr w:type="spellStart"/>
      <w:r>
        <w:rPr>
          <w:rFonts w:cs="Arial"/>
          <w:color w:val="252525"/>
          <w:sz w:val="21"/>
          <w:szCs w:val="21"/>
          <w:shd w:val="clear" w:color="auto" w:fill="FFFFFF"/>
        </w:rPr>
        <w:t>Klosowski</w:t>
      </w:r>
      <w:proofErr w:type="spellEnd"/>
      <w:r>
        <w:rPr>
          <w:rFonts w:cs="Arial"/>
          <w:color w:val="252525"/>
          <w:sz w:val="21"/>
          <w:szCs w:val="21"/>
          <w:shd w:val="clear" w:color="auto" w:fill="FFFFFF"/>
        </w:rPr>
        <w:t xml:space="preserve"> in "Consider the Consequences of Trading Your Health Data. (2020-02-03) New York Times p. B7.</w:t>
      </w:r>
      <w:bookmarkStart w:id="156" w:name="_GoBack"/>
      <w:bookmarkEnd w:id="156"/>
    </w:p>
    <w:p w14:paraId="0FF83271" w14:textId="699A8ADF" w:rsidR="0061421F" w:rsidRPr="0061421F" w:rsidRDefault="0061421F" w:rsidP="00EF7788">
      <w:pPr>
        <w:pStyle w:val="BodyText"/>
        <w:numPr>
          <w:ilvl w:val="0"/>
          <w:numId w:val="10"/>
        </w:numPr>
      </w:pPr>
      <w:r w:rsidRPr="0061421F">
        <w:t xml:space="preserve">The patient must be given the tools to assure that their PHI remains under their control. The healthcare community will </w:t>
      </w:r>
      <w:r w:rsidR="00484317" w:rsidRPr="0061421F">
        <w:t>lose</w:t>
      </w:r>
      <w:r w:rsidRPr="0061421F">
        <w:t xml:space="preserve"> the patient's trust if they don't enforce that.</w:t>
      </w:r>
    </w:p>
    <w:p w14:paraId="3FB3D0B9" w14:textId="77777777" w:rsidR="0061421F" w:rsidRPr="0061421F" w:rsidRDefault="0061421F" w:rsidP="00EF7788">
      <w:pPr>
        <w:pStyle w:val="BodyText"/>
        <w:numPr>
          <w:ilvl w:val="0"/>
          <w:numId w:val="10"/>
        </w:numPr>
      </w:pPr>
      <w:r w:rsidRPr="0061421F">
        <w:t>The biggest problem for the covered HIPAA entity is what level of assurance of patient intent do they require to:</w:t>
      </w:r>
    </w:p>
    <w:p w14:paraId="705B2178" w14:textId="77777777" w:rsidR="0061421F" w:rsidRPr="0061421F" w:rsidRDefault="0061421F" w:rsidP="00EF7788">
      <w:pPr>
        <w:pStyle w:val="BodyText"/>
        <w:numPr>
          <w:ilvl w:val="0"/>
          <w:numId w:val="11"/>
        </w:numPr>
      </w:pPr>
      <w:r w:rsidRPr="0061421F">
        <w:t>Release data to the user, especially in machine readable form.</w:t>
      </w:r>
    </w:p>
    <w:p w14:paraId="731FF7BF" w14:textId="77777777" w:rsidR="0061421F" w:rsidRPr="0061421F" w:rsidRDefault="0061421F" w:rsidP="00EF7788">
      <w:pPr>
        <w:pStyle w:val="BodyText"/>
        <w:numPr>
          <w:ilvl w:val="0"/>
          <w:numId w:val="11"/>
        </w:numPr>
      </w:pPr>
      <w:r w:rsidRPr="0061421F">
        <w:t>Accept data input from the user to be added to the patient's permanent EHR.</w:t>
      </w:r>
    </w:p>
    <w:p w14:paraId="2C703DAB" w14:textId="77777777" w:rsidR="0061421F" w:rsidRPr="0061421F" w:rsidRDefault="0061421F" w:rsidP="00EF7788">
      <w:pPr>
        <w:pStyle w:val="BodyText"/>
        <w:numPr>
          <w:ilvl w:val="0"/>
          <w:numId w:val="11"/>
        </w:numPr>
      </w:pPr>
      <w:r w:rsidRPr="0061421F">
        <w:t>Accept medical directives from the patient, especially POLST directives.</w:t>
      </w:r>
    </w:p>
    <w:p w14:paraId="68FA9685" w14:textId="77777777" w:rsidR="0061421F" w:rsidRPr="0061421F" w:rsidRDefault="0061421F" w:rsidP="00EF7788">
      <w:pPr>
        <w:pStyle w:val="BodyText"/>
        <w:numPr>
          <w:ilvl w:val="0"/>
          <w:numId w:val="12"/>
        </w:numPr>
      </w:pPr>
      <w:r w:rsidRPr="0061421F">
        <w:t>As a recipient of HIPAA covered data, any patient-centric health care app MUST take responsibility for protecting the data.</w:t>
      </w:r>
    </w:p>
    <w:p w14:paraId="706D5E81" w14:textId="77777777" w:rsidR="0061421F" w:rsidRPr="0061421F" w:rsidRDefault="0061421F" w:rsidP="00EF7788">
      <w:pPr>
        <w:pStyle w:val="BodyText"/>
        <w:numPr>
          <w:ilvl w:val="0"/>
          <w:numId w:val="12"/>
        </w:numPr>
      </w:pPr>
      <w:r w:rsidRPr="0061421F">
        <w:t>Electronic Health Record sites must assure that any patient app accepts this responsibility before sending them PHI.</w:t>
      </w:r>
    </w:p>
    <w:p w14:paraId="2ECF742C" w14:textId="77777777" w:rsidR="0061421F" w:rsidRPr="0061421F" w:rsidRDefault="0061421F" w:rsidP="00EF7788">
      <w:pPr>
        <w:pStyle w:val="BodyText"/>
        <w:numPr>
          <w:ilvl w:val="0"/>
          <w:numId w:val="12"/>
        </w:numPr>
      </w:pPr>
      <w:r w:rsidRPr="0061421F">
        <w:t>All computer application software that is running on internet connected computers is subject to a daily barrage of attacks trying to exploit vulnerabilities in that software or the gullibility of the people operating those computers. The </w:t>
      </w:r>
      <w:hyperlink r:id="rId23" w:history="1">
        <w:r w:rsidRPr="0061421F">
          <w:rPr>
            <w:rStyle w:val="Hyperlink"/>
          </w:rPr>
          <w:t>Healthcare IT News reported</w:t>
        </w:r>
      </w:hyperlink>
      <w:r w:rsidRPr="0061421F">
        <w:t xml:space="preserve"> that: "8 out of 10 mobile health apps open to HIPAA violations, hacking, </w:t>
      </w:r>
      <w:proofErr w:type="gramStart"/>
      <w:r w:rsidRPr="0061421F">
        <w:t>data</w:t>
      </w:r>
      <w:proofErr w:type="gramEnd"/>
      <w:r w:rsidRPr="0061421F">
        <w:t xml:space="preserve"> theft. Though the majority of executives surveyed by </w:t>
      </w:r>
      <w:proofErr w:type="spellStart"/>
      <w:r w:rsidRPr="0061421F">
        <w:t>Arxan</w:t>
      </w:r>
      <w:proofErr w:type="spellEnd"/>
      <w:r w:rsidRPr="0061421F">
        <w:t xml:space="preserve"> said they believe their apps are secure."</w:t>
      </w:r>
    </w:p>
    <w:p w14:paraId="67A898D2" w14:textId="77777777" w:rsidR="0061421F" w:rsidRPr="0061421F" w:rsidRDefault="0061421F" w:rsidP="00EF7788">
      <w:pPr>
        <w:pStyle w:val="BodyText"/>
        <w:numPr>
          <w:ilvl w:val="0"/>
          <w:numId w:val="12"/>
        </w:numPr>
      </w:pPr>
      <w:r w:rsidRPr="0061421F">
        <w:t>A </w:t>
      </w:r>
      <w:hyperlink r:id="rId24" w:history="1">
        <w:r w:rsidRPr="0061421F">
          <w:rPr>
            <w:rStyle w:val="Hyperlink"/>
          </w:rPr>
          <w:t>recent evaluation of the security of health apps on smartphones</w:t>
        </w:r>
      </w:hyperlink>
      <w:r w:rsidRPr="0061421F">
        <w:t> revealed the following: "We identified 116 eligible mobile phone apps. Of those, 4% (5/116) received a transparency score of acceptable, 28% (32/116) questionable, and 68% (79/116) unacceptable. Only a minority of the apps (49%) had a privacy policy." Clearly leaving security up to app developers without verification is not working today.</w:t>
      </w:r>
    </w:p>
    <w:p w14:paraId="49FB8C27" w14:textId="199FED94" w:rsidR="0061421F" w:rsidRPr="0061421F" w:rsidRDefault="0061421F" w:rsidP="0061421F">
      <w:pPr>
        <w:pStyle w:val="Heading2"/>
      </w:pPr>
      <w:r w:rsidRPr="0061421F">
        <w:lastRenderedPageBreak/>
        <w:t>Solutions</w:t>
      </w:r>
    </w:p>
    <w:p w14:paraId="523C822B" w14:textId="77777777" w:rsidR="0061421F" w:rsidRPr="0061421F" w:rsidRDefault="0061421F" w:rsidP="00EF7788">
      <w:pPr>
        <w:pStyle w:val="BodyText"/>
        <w:numPr>
          <w:ilvl w:val="0"/>
          <w:numId w:val="13"/>
        </w:numPr>
      </w:pPr>
      <w:r w:rsidRPr="0061421F">
        <w:t>The computer industry has learned that security cannot be a choice and has taken the responsibility to assure that their software does not expose the user to exploits that are launched regularly from any site that has access to the internet.</w:t>
      </w:r>
    </w:p>
    <w:p w14:paraId="765A88D4" w14:textId="5BDCC24A" w:rsidR="0061421F" w:rsidRPr="0061421F" w:rsidRDefault="0061421F" w:rsidP="00EF7788">
      <w:pPr>
        <w:pStyle w:val="BodyText"/>
        <w:numPr>
          <w:ilvl w:val="0"/>
          <w:numId w:val="13"/>
        </w:numPr>
      </w:pPr>
      <w:r w:rsidRPr="0061421F">
        <w:t xml:space="preserve">If the patient is to have a choice about the release of their protected health information (PHI), they must be able to rely on the software that is installed on the healthcare </w:t>
      </w:r>
      <w:r w:rsidR="006E2A6C" w:rsidRPr="0061421F">
        <w:t>provider’s</w:t>
      </w:r>
      <w:r w:rsidRPr="0061421F">
        <w:t xml:space="preserve"> computers as well as any software that they use on their own computers.</w:t>
      </w:r>
    </w:p>
    <w:p w14:paraId="0A402BB9" w14:textId="77777777" w:rsidR="0061421F" w:rsidRPr="0061421F" w:rsidRDefault="0061421F" w:rsidP="00EF7788">
      <w:pPr>
        <w:pStyle w:val="BodyText"/>
        <w:numPr>
          <w:ilvl w:val="0"/>
          <w:numId w:val="13"/>
        </w:numPr>
      </w:pPr>
      <w:r w:rsidRPr="0061421F">
        <w:t>To enable real patient choice, the healthcare community must create a trust registry of web sites and applications that are to be trusted with patient healthcare information (covered HIPAA entities). In other words, enabling patient choice on access to their data, the patient must be limited to the use of secure sites and applications that can be trusted to maintain the security of that information.</w:t>
      </w:r>
    </w:p>
    <w:p w14:paraId="5ADA11AD" w14:textId="77777777" w:rsidR="0061421F" w:rsidRPr="0061421F" w:rsidRDefault="0061421F" w:rsidP="00EF7788">
      <w:pPr>
        <w:pStyle w:val="BodyText"/>
        <w:numPr>
          <w:ilvl w:val="0"/>
          <w:numId w:val="13"/>
        </w:numPr>
      </w:pPr>
      <w:r w:rsidRPr="0061421F">
        <w:t>The healthcare community must prevent any sites or apps that are not in the US Healthcare Assurance Registry from downloading patient data.</w:t>
      </w:r>
    </w:p>
    <w:p w14:paraId="7AE4FFE6" w14:textId="77777777" w:rsidR="0061421F" w:rsidRPr="0061421F" w:rsidRDefault="0061421F" w:rsidP="00EF7788">
      <w:pPr>
        <w:pStyle w:val="BodyText"/>
        <w:numPr>
          <w:ilvl w:val="0"/>
          <w:numId w:val="13"/>
        </w:numPr>
      </w:pPr>
      <w:r w:rsidRPr="0061421F">
        <w:t>The healthcare community should prevent any user app from uploading data is not from a trusted site or app into the patient's EHR.</w:t>
      </w:r>
    </w:p>
    <w:p w14:paraId="3E3A0388" w14:textId="77777777" w:rsidR="0061421F" w:rsidRPr="0061421F" w:rsidRDefault="0061421F" w:rsidP="00EF7788">
      <w:pPr>
        <w:pStyle w:val="BodyText"/>
        <w:numPr>
          <w:ilvl w:val="0"/>
          <w:numId w:val="13"/>
        </w:numPr>
      </w:pPr>
      <w:r w:rsidRPr="0061421F">
        <w:t>To be sure that patient concerns are met, a </w:t>
      </w:r>
      <w:hyperlink r:id="rId25" w:tooltip="Trustworthy Healthcare Ecosystem" w:history="1">
        <w:r w:rsidRPr="0061421F">
          <w:rPr>
            <w:rStyle w:val="Hyperlink"/>
          </w:rPr>
          <w:t>Trustworthy Healthcare Ecosystem</w:t>
        </w:r>
      </w:hyperlink>
      <w:r w:rsidRPr="0061421F">
        <w:t> must exist to be able to strongly identify these actors:</w:t>
      </w:r>
    </w:p>
    <w:p w14:paraId="52A63E50" w14:textId="77777777" w:rsidR="0061421F" w:rsidRPr="0061421F" w:rsidRDefault="0061421F" w:rsidP="00EF7788">
      <w:pPr>
        <w:pStyle w:val="BodyText"/>
        <w:numPr>
          <w:ilvl w:val="0"/>
          <w:numId w:val="14"/>
        </w:numPr>
      </w:pPr>
      <w:r w:rsidRPr="0061421F">
        <w:t>The Patient must be able to prove that they are the owner (or </w:t>
      </w:r>
      <w:hyperlink r:id="rId26" w:tooltip="Guardian" w:history="1">
        <w:r w:rsidRPr="0061421F">
          <w:rPr>
            <w:rStyle w:val="Hyperlink"/>
          </w:rPr>
          <w:t>Guardian</w:t>
        </w:r>
      </w:hyperlink>
      <w:r w:rsidRPr="0061421F">
        <w:t> of the owner) of the PHI.</w:t>
      </w:r>
    </w:p>
    <w:p w14:paraId="4EB16EF5" w14:textId="77777777" w:rsidR="0061421F" w:rsidRPr="0061421F" w:rsidRDefault="0061421F" w:rsidP="00EF7788">
      <w:pPr>
        <w:pStyle w:val="BodyText"/>
        <w:numPr>
          <w:ilvl w:val="0"/>
          <w:numId w:val="14"/>
        </w:numPr>
      </w:pPr>
      <w:r w:rsidRPr="0061421F">
        <w:t>The Patient app must be trusted to faithfully present the patient authentication and protect PHI that the patient downloads.</w:t>
      </w:r>
    </w:p>
    <w:p w14:paraId="07FA9C6D" w14:textId="77777777" w:rsidR="0061421F" w:rsidRPr="0061421F" w:rsidRDefault="0061421F" w:rsidP="00EF7788">
      <w:pPr>
        <w:pStyle w:val="BodyText"/>
        <w:numPr>
          <w:ilvl w:val="0"/>
          <w:numId w:val="14"/>
        </w:numPr>
      </w:pPr>
      <w:r w:rsidRPr="0061421F">
        <w:t>The source of the data must be trusted to show the provenance of the data. That is to show that the data is legitimate and accurate.</w:t>
      </w:r>
    </w:p>
    <w:p w14:paraId="344FB8E5" w14:textId="77777777" w:rsidR="0061421F" w:rsidRPr="0061421F" w:rsidRDefault="0061421F" w:rsidP="00EF7788">
      <w:pPr>
        <w:pStyle w:val="BodyText"/>
        <w:numPr>
          <w:ilvl w:val="0"/>
          <w:numId w:val="14"/>
        </w:numPr>
      </w:pPr>
      <w:r w:rsidRPr="0061421F">
        <w:t>If the patient chooses to share PHI, they must be able to assure that the recipient of the data will treat the data with the full protections of HIPAA.</w:t>
      </w:r>
    </w:p>
    <w:p w14:paraId="717504FA" w14:textId="77777777" w:rsidR="0061421F" w:rsidRPr="0061421F" w:rsidRDefault="0061421F" w:rsidP="00EF7788">
      <w:pPr>
        <w:pStyle w:val="BodyText"/>
        <w:numPr>
          <w:ilvl w:val="0"/>
          <w:numId w:val="15"/>
        </w:numPr>
      </w:pPr>
      <w:r w:rsidRPr="0061421F">
        <w:t>The question about PHI that is released to non-HIPAA covered entities has not yet been addressed. But is it clear that the patient needs to understand the implications and risks of such a release before it happens.</w:t>
      </w:r>
    </w:p>
    <w:p w14:paraId="07ED5374" w14:textId="77777777" w:rsidR="008D1E67" w:rsidRPr="0061421F" w:rsidRDefault="008D1E67" w:rsidP="008D1E67">
      <w:pPr>
        <w:pStyle w:val="BodyText"/>
        <w:numPr>
          <w:ilvl w:val="0"/>
          <w:numId w:val="11"/>
        </w:numPr>
        <w:rPr>
          <w:b/>
          <w:bCs/>
        </w:rPr>
      </w:pPr>
      <w:r w:rsidRPr="0061421F">
        <w:rPr>
          <w:b/>
          <w:bCs/>
        </w:rPr>
        <w:t>Other functionality that a device app could supply</w:t>
      </w:r>
    </w:p>
    <w:p w14:paraId="36A75126" w14:textId="77777777" w:rsidR="008D1E67" w:rsidRPr="0061421F" w:rsidRDefault="008D1E67" w:rsidP="008D1E67">
      <w:pPr>
        <w:pStyle w:val="BodyText"/>
        <w:numPr>
          <w:ilvl w:val="0"/>
          <w:numId w:val="16"/>
        </w:numPr>
      </w:pPr>
      <w:r w:rsidRPr="0061421F">
        <w:t>The app could be used by a medical record source to determine which categories of medical records the patient wants to share with other HIPAA covered entities.</w:t>
      </w:r>
    </w:p>
    <w:p w14:paraId="4BE0E7A2" w14:textId="158AB7B8" w:rsidR="008D1E67" w:rsidRPr="0061421F" w:rsidRDefault="008D1E67" w:rsidP="008D1E67">
      <w:pPr>
        <w:pStyle w:val="BodyText"/>
        <w:numPr>
          <w:ilvl w:val="0"/>
          <w:numId w:val="16"/>
        </w:numPr>
      </w:pPr>
      <w:r w:rsidRPr="0061421F">
        <w:t>The app could respond to requests by an EH</w:t>
      </w:r>
      <w:r>
        <w:t xml:space="preserve">R for current information, with the data </w:t>
      </w:r>
      <w:r w:rsidRPr="0061421F">
        <w:t>held by the user, or by forwarding the request to the source EHR.</w:t>
      </w:r>
    </w:p>
    <w:p w14:paraId="0E2320F9" w14:textId="77777777" w:rsidR="008D1E67" w:rsidRPr="0061421F" w:rsidRDefault="008D1E67" w:rsidP="008D1E67">
      <w:pPr>
        <w:pStyle w:val="BodyText"/>
        <w:numPr>
          <w:ilvl w:val="0"/>
          <w:numId w:val="16"/>
        </w:numPr>
      </w:pPr>
      <w:r w:rsidRPr="0061421F">
        <w:t>The patient or legal system can enable guardians to use the app for access or update of patient data.</w:t>
      </w:r>
    </w:p>
    <w:p w14:paraId="1D2D1C86" w14:textId="77777777" w:rsidR="008D1E67" w:rsidRDefault="008D1E67">
      <w:pPr>
        <w:spacing w:before="0" w:after="0"/>
        <w:rPr>
          <w:rFonts w:eastAsia="MS Mincho"/>
          <w:kern w:val="24"/>
          <w:szCs w:val="20"/>
        </w:rPr>
      </w:pPr>
      <w:r>
        <w:br w:type="page"/>
      </w:r>
    </w:p>
    <w:p w14:paraId="6A6786D6" w14:textId="77777777" w:rsidR="0061421F" w:rsidRPr="0061421F" w:rsidRDefault="0061421F" w:rsidP="008D1E67">
      <w:pPr>
        <w:pStyle w:val="BodyText"/>
      </w:pPr>
    </w:p>
    <w:p w14:paraId="22872BD3" w14:textId="572D647E" w:rsidR="0061421F" w:rsidRPr="0061421F" w:rsidRDefault="0061421F" w:rsidP="0061421F">
      <w:pPr>
        <w:pStyle w:val="Heading2"/>
      </w:pPr>
      <w:r>
        <w:t>Reference</w:t>
      </w:r>
      <w:r w:rsidRPr="0061421F">
        <w:t xml:space="preserve"> Material</w:t>
      </w:r>
    </w:p>
    <w:p w14:paraId="36A91578" w14:textId="32F0A83B" w:rsidR="0061421F" w:rsidRPr="0061421F" w:rsidRDefault="0061421F" w:rsidP="0061421F">
      <w:pPr>
        <w:pStyle w:val="BodyText"/>
      </w:pPr>
      <w:r w:rsidRPr="0061421F">
        <w:t>The following use cases contain details about the location where a user agent maintains </w:t>
      </w:r>
      <w:r w:rsidRPr="008D1E67">
        <w:rPr>
          <w:bCs/>
        </w:rPr>
        <w:t>Patient Choice</w:t>
      </w:r>
      <w:r w:rsidRPr="0061421F">
        <w:t> (i</w:t>
      </w:r>
      <w:r w:rsidR="008D1E67">
        <w:t>.</w:t>
      </w:r>
      <w:r w:rsidRPr="0061421F">
        <w:t>e</w:t>
      </w:r>
      <w:r w:rsidR="008D1E67">
        <w:t>.</w:t>
      </w:r>
      <w:r w:rsidRPr="0061421F">
        <w:t xml:space="preserve"> on the user's </w:t>
      </w:r>
      <w:r w:rsidR="008D1E67">
        <w:t>smart</w:t>
      </w:r>
      <w:r w:rsidRPr="0061421F">
        <w:t>phone or in the cloud) among other issues in a </w:t>
      </w:r>
      <w:hyperlink r:id="rId27" w:tooltip="Trustworthy Healthcare Ecosystem" w:history="1">
        <w:r w:rsidRPr="0061421F">
          <w:rPr>
            <w:rStyle w:val="Hyperlink"/>
          </w:rPr>
          <w:t>Trustworthy Healthcare Ecosystem</w:t>
        </w:r>
      </w:hyperlink>
      <w:r w:rsidRPr="0061421F">
        <w:t>.</w:t>
      </w:r>
    </w:p>
    <w:p w14:paraId="0FA971F1" w14:textId="77777777" w:rsidR="0061421F" w:rsidRPr="0061421F" w:rsidRDefault="0061421F" w:rsidP="00EF7788">
      <w:pPr>
        <w:pStyle w:val="BodyText"/>
        <w:numPr>
          <w:ilvl w:val="0"/>
          <w:numId w:val="17"/>
        </w:numPr>
      </w:pPr>
      <w:r w:rsidRPr="0061421F">
        <w:t>The </w:t>
      </w:r>
      <w:hyperlink r:id="rId28" w:tooltip="Remote Attestation Use Case" w:history="1">
        <w:r w:rsidRPr="0061421F">
          <w:rPr>
            <w:rStyle w:val="Hyperlink"/>
          </w:rPr>
          <w:t>Remote Attestation Use Case</w:t>
        </w:r>
      </w:hyperlink>
      <w:r w:rsidRPr="0061421F">
        <w:t> wiki page describes a user with a Smartphone going through a series of actions that will provide subsequent statements from that user on that phone with a higher level of assurance.</w:t>
      </w:r>
    </w:p>
    <w:p w14:paraId="7284D9C1" w14:textId="77777777" w:rsidR="0061421F" w:rsidRPr="0061421F" w:rsidRDefault="0061421F" w:rsidP="00EF7788">
      <w:pPr>
        <w:pStyle w:val="BodyText"/>
        <w:numPr>
          <w:ilvl w:val="0"/>
          <w:numId w:val="17"/>
        </w:numPr>
      </w:pPr>
      <w:r w:rsidRPr="0061421F">
        <w:t>The </w:t>
      </w:r>
      <w:hyperlink r:id="rId29" w:tooltip="User Agent in the Cloud" w:history="1">
        <w:r w:rsidRPr="0061421F">
          <w:rPr>
            <w:rStyle w:val="Hyperlink"/>
          </w:rPr>
          <w:t>User Agent in the Cloud</w:t>
        </w:r>
      </w:hyperlink>
      <w:r w:rsidRPr="0061421F">
        <w:t xml:space="preserve"> wiki page describes a user with a modern browser on </w:t>
      </w:r>
      <w:proofErr w:type="spellStart"/>
      <w:proofErr w:type="gramStart"/>
      <w:r w:rsidRPr="0061421F">
        <w:t>a</w:t>
      </w:r>
      <w:proofErr w:type="spellEnd"/>
      <w:proofErr w:type="gramEnd"/>
      <w:r w:rsidRPr="0061421F">
        <w:t xml:space="preserve"> internet connected computing device establishing an agent on a trustworthy website to allow access to information on their behalf.</w:t>
      </w:r>
    </w:p>
    <w:p w14:paraId="339D88AD" w14:textId="77777777" w:rsidR="008D1E67" w:rsidRPr="0061421F" w:rsidRDefault="008D1E67" w:rsidP="008D1E67">
      <w:r>
        <w:t xml:space="preserve">These patient choices and their attendant liability are addressed in </w:t>
      </w:r>
      <w:r w:rsidRPr="008D1E67">
        <w:rPr>
          <w:shd w:val="clear" w:color="auto" w:fill="FFFFFF"/>
        </w:rPr>
        <w:t xml:space="preserve">Design Principles/Goals for a Healthcare Identity Environment Architecture above, a current copy will be maintained on </w:t>
      </w:r>
      <w:hyperlink r:id="rId30" w:history="1">
        <w:r w:rsidRPr="008D1E67">
          <w:rPr>
            <w:rStyle w:val="Hyperlink"/>
            <w:shd w:val="clear" w:color="auto" w:fill="FFFFFF"/>
          </w:rPr>
          <w:t>the Kantara website</w:t>
        </w:r>
      </w:hyperlink>
      <w:r w:rsidRPr="008D1E67">
        <w:rPr>
          <w:shd w:val="clear" w:color="auto" w:fill="FFFFFF"/>
        </w:rPr>
        <w:t>.</w:t>
      </w:r>
    </w:p>
    <w:p w14:paraId="3D1B46FF" w14:textId="77777777" w:rsidR="00FC147F" w:rsidRPr="00FC147F" w:rsidRDefault="00FC147F" w:rsidP="00FC147F">
      <w:pPr>
        <w:pStyle w:val="BodyText"/>
      </w:pPr>
    </w:p>
    <w:sectPr w:rsidR="00FC147F" w:rsidRPr="00FC147F" w:rsidSect="00A36B9D">
      <w:pgSz w:w="12242" w:h="15842" w:code="1"/>
      <w:pgMar w:top="720" w:right="1440" w:bottom="1440" w:left="1800" w:header="720" w:footer="61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7D01E" w14:textId="77777777" w:rsidR="00E37BA8" w:rsidRDefault="00E37BA8">
      <w:r>
        <w:separator/>
      </w:r>
    </w:p>
  </w:endnote>
  <w:endnote w:type="continuationSeparator" w:id="0">
    <w:p w14:paraId="004B525C" w14:textId="77777777" w:rsidR="00E37BA8" w:rsidRDefault="00E3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1D90" w14:textId="77777777" w:rsidR="00F96C3D" w:rsidRDefault="00F96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F96C3D" w:rsidRDefault="00F96C3D">
    <w:pPr>
      <w:pStyle w:val="Footer"/>
      <w:ind w:right="360"/>
    </w:pPr>
  </w:p>
  <w:p w14:paraId="0A84BBEB" w14:textId="77777777" w:rsidR="00F96C3D" w:rsidRDefault="00F96C3D"/>
  <w:p w14:paraId="2129EFF4" w14:textId="77777777" w:rsidR="00F96C3D" w:rsidRDefault="00F96C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BCF1" w14:textId="549C1892" w:rsidR="00F96C3D" w:rsidRPr="007A5803" w:rsidRDefault="00F96C3D" w:rsidP="0061421F">
    <w:pPr>
      <w:pStyle w:val="Footer"/>
      <w:pBdr>
        <w:top w:val="single" w:sz="4" w:space="1" w:color="33CCCC"/>
      </w:pBdr>
      <w:tabs>
        <w:tab w:val="clear" w:pos="4153"/>
        <w:tab w:val="center" w:pos="4320"/>
      </w:tabs>
      <w:spacing w:after="0" w:line="240" w:lineRule="auto"/>
      <w:jc w:val="center"/>
      <w:rPr>
        <w:rFonts w:ascii="Century Gothic" w:hAnsi="Century Gothic"/>
        <w:sz w:val="18"/>
        <w:szCs w:val="18"/>
      </w:rPr>
    </w:pPr>
    <w:r w:rsidRPr="007A5803">
      <w:rPr>
        <w:rFonts w:ascii="Century Gothic" w:hAnsi="Century Gothic"/>
        <w:b/>
        <w:sz w:val="18"/>
        <w:szCs w:val="18"/>
      </w:rPr>
      <w:t>Kantara Initiative</w:t>
    </w:r>
    <w:r>
      <w:rPr>
        <w:rFonts w:ascii="Century Gothic" w:hAnsi="Century Gothic"/>
        <w:b/>
        <w:sz w:val="18"/>
        <w:szCs w:val="18"/>
      </w:rPr>
      <w:t xml:space="preserve"> </w:t>
    </w:r>
    <w:r w:rsidR="00A36B9D">
      <w:rPr>
        <w:rFonts w:ascii="Century Gothic" w:hAnsi="Century Gothic"/>
        <w:b/>
        <w:sz w:val="18"/>
        <w:szCs w:val="18"/>
      </w:rPr>
      <w:t xml:space="preserve">Work Groups </w:t>
    </w:r>
    <w:r>
      <w:rPr>
        <w:rFonts w:ascii="Century Gothic" w:hAnsi="Century Gothic"/>
        <w:b/>
        <w:sz w:val="18"/>
        <w:szCs w:val="18"/>
      </w:rPr>
      <w:t>S</w:t>
    </w:r>
    <w:r w:rsidR="00A36B9D">
      <w:rPr>
        <w:rFonts w:ascii="Century Gothic" w:hAnsi="Century Gothic"/>
        <w:b/>
        <w:sz w:val="18"/>
        <w:szCs w:val="18"/>
      </w:rPr>
      <w:t>ubmission</w:t>
    </w:r>
    <w:r w:rsidR="008D1E67">
      <w:rPr>
        <w:rFonts w:ascii="Century Gothic" w:hAnsi="Century Gothic"/>
        <w:b/>
        <w:sz w:val="18"/>
        <w:szCs w:val="18"/>
      </w:rPr>
      <w:t xml:space="preserve"> to the Office of the National Coordinator</w:t>
    </w:r>
    <w:r>
      <w:rPr>
        <w:rFonts w:ascii="Century Gothic" w:hAnsi="Century Gothic"/>
        <w:b/>
        <w:sz w:val="18"/>
        <w:szCs w:val="18"/>
      </w:rPr>
      <w:br/>
    </w:r>
  </w:p>
  <w:p w14:paraId="2D1DA5B7" w14:textId="08A2D9B8" w:rsidR="00F96C3D" w:rsidRDefault="00F96C3D"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2C0042">
      <w:rPr>
        <w:noProof/>
        <w:sz w:val="18"/>
        <w:szCs w:val="18"/>
      </w:rPr>
      <w:t>11</w:t>
    </w:r>
    <w:r w:rsidRPr="007A5803">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2BE2" w14:textId="258436B9" w:rsidR="00F96C3D" w:rsidRPr="007A5803" w:rsidRDefault="00F96C3D" w:rsidP="008D1E67">
    <w:pPr>
      <w:pStyle w:val="Footer"/>
      <w:pBdr>
        <w:top w:val="single" w:sz="4" w:space="1" w:color="33CCCC"/>
      </w:pBdr>
      <w:spacing w:after="0" w:line="240" w:lineRule="auto"/>
      <w:rPr>
        <w:rFonts w:ascii="Century Gothic" w:hAnsi="Century Gothic"/>
        <w:sz w:val="18"/>
        <w:szCs w:val="18"/>
      </w:rPr>
    </w:pPr>
    <w:r w:rsidRPr="007A5803">
      <w:rPr>
        <w:rFonts w:ascii="Century Gothic" w:hAnsi="Century Gothic"/>
        <w:b/>
        <w:sz w:val="18"/>
        <w:szCs w:val="18"/>
      </w:rPr>
      <w:br/>
    </w:r>
  </w:p>
  <w:p w14:paraId="549A30A7" w14:textId="0A442066" w:rsidR="00F96C3D" w:rsidRDefault="00F96C3D"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2C0042">
      <w:rPr>
        <w:noProof/>
        <w:sz w:val="18"/>
        <w:szCs w:val="18"/>
      </w:rPr>
      <w:t>8</w:t>
    </w:r>
    <w:r w:rsidRPr="007A580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86BB2" w14:textId="77777777" w:rsidR="00E37BA8" w:rsidRDefault="00E37BA8">
      <w:r>
        <w:separator/>
      </w:r>
    </w:p>
  </w:footnote>
  <w:footnote w:type="continuationSeparator" w:id="0">
    <w:p w14:paraId="63D6211A" w14:textId="77777777" w:rsidR="00E37BA8" w:rsidRDefault="00E37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B6AA5" w14:textId="78210E2F" w:rsidR="00F96C3D" w:rsidRDefault="00967EAA" w:rsidP="00967EAA">
    <w:pPr>
      <w:pStyle w:val="Header"/>
      <w:tabs>
        <w:tab w:val="clear" w:pos="4153"/>
        <w:tab w:val="clear" w:pos="8306"/>
        <w:tab w:val="left" w:pos="5985"/>
      </w:tabs>
      <w:spacing w:before="0" w:after="120"/>
      <w:jc w:val="right"/>
    </w:pPr>
    <w:r>
      <w:rPr>
        <w:rFonts w:cs="Arial"/>
        <w:b/>
        <w:szCs w:val="22"/>
      </w:rPr>
      <w:t>Comments to the 2020-2025 Federal Health IT Strategic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00C00" w14:textId="77777777" w:rsidR="00F96C3D" w:rsidRDefault="00F96C3D" w:rsidP="00356BA1">
    <w:pPr>
      <w:pStyle w:val="Header"/>
      <w:tabs>
        <w:tab w:val="clear" w:pos="4153"/>
        <w:tab w:val="clear" w:pos="8306"/>
        <w:tab w:val="left" w:pos="5576"/>
      </w:tabs>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DFC"/>
    <w:multiLevelType w:val="multilevel"/>
    <w:tmpl w:val="5FDE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62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A1B67D9"/>
    <w:multiLevelType w:val="multilevel"/>
    <w:tmpl w:val="7226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56BCC"/>
    <w:multiLevelType w:val="multilevel"/>
    <w:tmpl w:val="787A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0163F"/>
    <w:multiLevelType w:val="hybridMultilevel"/>
    <w:tmpl w:val="7B5851DA"/>
    <w:lvl w:ilvl="0" w:tplc="C4568C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56B8A"/>
    <w:multiLevelType w:val="multilevel"/>
    <w:tmpl w:val="D4A4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7D3CAC"/>
    <w:multiLevelType w:val="multilevel"/>
    <w:tmpl w:val="AFA865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10" w15:restartNumberingAfterBreak="0">
    <w:nsid w:val="1D39474D"/>
    <w:multiLevelType w:val="hybridMultilevel"/>
    <w:tmpl w:val="2CA8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74C4D"/>
    <w:multiLevelType w:val="multilevel"/>
    <w:tmpl w:val="B4302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D42B3B"/>
    <w:multiLevelType w:val="multilevel"/>
    <w:tmpl w:val="86CC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216181"/>
    <w:multiLevelType w:val="multilevel"/>
    <w:tmpl w:val="9DBA625E"/>
    <w:lvl w:ilvl="0">
      <w:start w:val="1"/>
      <w:numFmt w:val="decimal"/>
      <w:pStyle w:val="Heading1"/>
      <w:lvlText w:val="%1"/>
      <w:lvlJc w:val="left"/>
      <w:pPr>
        <w:ind w:left="432" w:hanging="432"/>
      </w:pPr>
      <w:rPr>
        <w:rFonts w:hint="default"/>
        <w:bCs/>
        <w:sz w:val="32"/>
        <w:szCs w:val="32"/>
      </w:rPr>
    </w:lvl>
    <w:lvl w:ilvl="1">
      <w:start w:val="1"/>
      <w:numFmt w:val="decimal"/>
      <w:pStyle w:val="Heading2"/>
      <w:lvlText w:val="%1.%2"/>
      <w:lvlJc w:val="left"/>
      <w:pPr>
        <w:ind w:left="576" w:hanging="576"/>
      </w:pPr>
      <w:rPr>
        <w:rFonts w:hint="default"/>
        <w:sz w:val="28"/>
        <w:szCs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F3D6472"/>
    <w:multiLevelType w:val="hybridMultilevel"/>
    <w:tmpl w:val="8BFCD2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9E123D7"/>
    <w:multiLevelType w:val="multilevel"/>
    <w:tmpl w:val="5B5A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701A25"/>
    <w:multiLevelType w:val="multilevel"/>
    <w:tmpl w:val="6748B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3"/>
  </w:num>
  <w:num w:numId="3">
    <w:abstractNumId w:val="7"/>
  </w:num>
  <w:num w:numId="4">
    <w:abstractNumId w:val="9"/>
  </w:num>
  <w:num w:numId="5">
    <w:abstractNumId w:val="8"/>
  </w:num>
  <w:num w:numId="6">
    <w:abstractNumId w:val="18"/>
  </w:num>
  <w:num w:numId="7">
    <w:abstractNumId w:val="1"/>
  </w:num>
  <w:num w:numId="8">
    <w:abstractNumId w:val="15"/>
  </w:num>
  <w:num w:numId="9">
    <w:abstractNumId w:val="6"/>
  </w:num>
  <w:num w:numId="10">
    <w:abstractNumId w:val="5"/>
  </w:num>
  <w:num w:numId="11">
    <w:abstractNumId w:val="2"/>
  </w:num>
  <w:num w:numId="12">
    <w:abstractNumId w:val="0"/>
  </w:num>
  <w:num w:numId="13">
    <w:abstractNumId w:val="3"/>
  </w:num>
  <w:num w:numId="14">
    <w:abstractNumId w:val="11"/>
  </w:num>
  <w:num w:numId="15">
    <w:abstractNumId w:val="12"/>
  </w:num>
  <w:num w:numId="16">
    <w:abstractNumId w:val="17"/>
  </w:num>
  <w:num w:numId="17">
    <w:abstractNumId w:val="16"/>
  </w:num>
  <w:num w:numId="18">
    <w:abstractNumId w:val="10"/>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wMDKzNDUyNbY0NjJX0lEKTi0uzszPAykwMa0FAEIBaDgtAAAA"/>
  </w:docVars>
  <w:rsids>
    <w:rsidRoot w:val="00CE0D98"/>
    <w:rsid w:val="0001102B"/>
    <w:rsid w:val="000159A2"/>
    <w:rsid w:val="000168C8"/>
    <w:rsid w:val="00022944"/>
    <w:rsid w:val="000245FD"/>
    <w:rsid w:val="00025AD0"/>
    <w:rsid w:val="00034DAE"/>
    <w:rsid w:val="00036C85"/>
    <w:rsid w:val="0004550D"/>
    <w:rsid w:val="00052528"/>
    <w:rsid w:val="00056730"/>
    <w:rsid w:val="00061756"/>
    <w:rsid w:val="00063036"/>
    <w:rsid w:val="0006469A"/>
    <w:rsid w:val="00073AA1"/>
    <w:rsid w:val="00074C24"/>
    <w:rsid w:val="000754C7"/>
    <w:rsid w:val="00082C3C"/>
    <w:rsid w:val="00085376"/>
    <w:rsid w:val="000878F8"/>
    <w:rsid w:val="00093F76"/>
    <w:rsid w:val="000950A2"/>
    <w:rsid w:val="0009596E"/>
    <w:rsid w:val="00096735"/>
    <w:rsid w:val="00097239"/>
    <w:rsid w:val="00097639"/>
    <w:rsid w:val="000A491E"/>
    <w:rsid w:val="000A699C"/>
    <w:rsid w:val="000B24A1"/>
    <w:rsid w:val="000B32EE"/>
    <w:rsid w:val="000B58B4"/>
    <w:rsid w:val="000C2407"/>
    <w:rsid w:val="000C441F"/>
    <w:rsid w:val="000C5BDD"/>
    <w:rsid w:val="000C7893"/>
    <w:rsid w:val="000D4961"/>
    <w:rsid w:val="000D6302"/>
    <w:rsid w:val="000E0904"/>
    <w:rsid w:val="000E0A4E"/>
    <w:rsid w:val="000E38C7"/>
    <w:rsid w:val="000F725F"/>
    <w:rsid w:val="001025EE"/>
    <w:rsid w:val="00104810"/>
    <w:rsid w:val="00107399"/>
    <w:rsid w:val="001074F6"/>
    <w:rsid w:val="001126F1"/>
    <w:rsid w:val="001149C5"/>
    <w:rsid w:val="00115183"/>
    <w:rsid w:val="00115E96"/>
    <w:rsid w:val="001201A8"/>
    <w:rsid w:val="001223F8"/>
    <w:rsid w:val="001238B2"/>
    <w:rsid w:val="0012618E"/>
    <w:rsid w:val="00126454"/>
    <w:rsid w:val="00126576"/>
    <w:rsid w:val="00135CCA"/>
    <w:rsid w:val="00136A2B"/>
    <w:rsid w:val="001431C2"/>
    <w:rsid w:val="001433D4"/>
    <w:rsid w:val="00146358"/>
    <w:rsid w:val="00147556"/>
    <w:rsid w:val="001475DD"/>
    <w:rsid w:val="0015119E"/>
    <w:rsid w:val="00153857"/>
    <w:rsid w:val="00154834"/>
    <w:rsid w:val="001564E7"/>
    <w:rsid w:val="001568BA"/>
    <w:rsid w:val="00163171"/>
    <w:rsid w:val="00163A74"/>
    <w:rsid w:val="00166BFD"/>
    <w:rsid w:val="00172AC3"/>
    <w:rsid w:val="00177E3B"/>
    <w:rsid w:val="00181698"/>
    <w:rsid w:val="001842FD"/>
    <w:rsid w:val="00186999"/>
    <w:rsid w:val="00187394"/>
    <w:rsid w:val="00190261"/>
    <w:rsid w:val="00190439"/>
    <w:rsid w:val="001906C7"/>
    <w:rsid w:val="0019195B"/>
    <w:rsid w:val="00193120"/>
    <w:rsid w:val="001A2023"/>
    <w:rsid w:val="001A3B49"/>
    <w:rsid w:val="001A546F"/>
    <w:rsid w:val="001B4052"/>
    <w:rsid w:val="001B5D62"/>
    <w:rsid w:val="001C437B"/>
    <w:rsid w:val="001C4B10"/>
    <w:rsid w:val="001C5C34"/>
    <w:rsid w:val="001D3D43"/>
    <w:rsid w:val="001E1398"/>
    <w:rsid w:val="001E26A9"/>
    <w:rsid w:val="001E35F7"/>
    <w:rsid w:val="001F3005"/>
    <w:rsid w:val="001F5714"/>
    <w:rsid w:val="00201595"/>
    <w:rsid w:val="00207D6F"/>
    <w:rsid w:val="00210006"/>
    <w:rsid w:val="00212482"/>
    <w:rsid w:val="002128BF"/>
    <w:rsid w:val="00220FEB"/>
    <w:rsid w:val="00227DDE"/>
    <w:rsid w:val="00231E4E"/>
    <w:rsid w:val="002322BD"/>
    <w:rsid w:val="00234683"/>
    <w:rsid w:val="00241E75"/>
    <w:rsid w:val="00243BBF"/>
    <w:rsid w:val="00244987"/>
    <w:rsid w:val="00247561"/>
    <w:rsid w:val="00250D78"/>
    <w:rsid w:val="0025470D"/>
    <w:rsid w:val="00256DA4"/>
    <w:rsid w:val="00262C55"/>
    <w:rsid w:val="002638D1"/>
    <w:rsid w:val="002655FC"/>
    <w:rsid w:val="00271390"/>
    <w:rsid w:val="00277E1C"/>
    <w:rsid w:val="00283178"/>
    <w:rsid w:val="002838D3"/>
    <w:rsid w:val="00285218"/>
    <w:rsid w:val="002862F9"/>
    <w:rsid w:val="00286722"/>
    <w:rsid w:val="0029062A"/>
    <w:rsid w:val="00293199"/>
    <w:rsid w:val="00296191"/>
    <w:rsid w:val="002A0798"/>
    <w:rsid w:val="002A17C1"/>
    <w:rsid w:val="002A22EF"/>
    <w:rsid w:val="002A6F40"/>
    <w:rsid w:val="002B513E"/>
    <w:rsid w:val="002B6440"/>
    <w:rsid w:val="002B7E0E"/>
    <w:rsid w:val="002C0042"/>
    <w:rsid w:val="002C08F7"/>
    <w:rsid w:val="002C4D57"/>
    <w:rsid w:val="002C6190"/>
    <w:rsid w:val="002D17B6"/>
    <w:rsid w:val="002D2B31"/>
    <w:rsid w:val="002D4A9F"/>
    <w:rsid w:val="002D6F26"/>
    <w:rsid w:val="002D7421"/>
    <w:rsid w:val="002E2E14"/>
    <w:rsid w:val="002E3122"/>
    <w:rsid w:val="002E3784"/>
    <w:rsid w:val="002E3E25"/>
    <w:rsid w:val="002E588C"/>
    <w:rsid w:val="002E705E"/>
    <w:rsid w:val="002F075F"/>
    <w:rsid w:val="002F5779"/>
    <w:rsid w:val="002F5C47"/>
    <w:rsid w:val="002F5CFC"/>
    <w:rsid w:val="002F7D41"/>
    <w:rsid w:val="0031077D"/>
    <w:rsid w:val="00313B1F"/>
    <w:rsid w:val="003142D7"/>
    <w:rsid w:val="00316F90"/>
    <w:rsid w:val="0033139C"/>
    <w:rsid w:val="00334A41"/>
    <w:rsid w:val="0034171A"/>
    <w:rsid w:val="00341F8A"/>
    <w:rsid w:val="003454A4"/>
    <w:rsid w:val="00345DBF"/>
    <w:rsid w:val="0034697B"/>
    <w:rsid w:val="00351026"/>
    <w:rsid w:val="00356BA1"/>
    <w:rsid w:val="00357EBB"/>
    <w:rsid w:val="00361469"/>
    <w:rsid w:val="003638F7"/>
    <w:rsid w:val="003648A1"/>
    <w:rsid w:val="00371AA4"/>
    <w:rsid w:val="00375BAF"/>
    <w:rsid w:val="00385090"/>
    <w:rsid w:val="00386C71"/>
    <w:rsid w:val="003906C8"/>
    <w:rsid w:val="00393946"/>
    <w:rsid w:val="003A2904"/>
    <w:rsid w:val="003A3DA0"/>
    <w:rsid w:val="003A52B9"/>
    <w:rsid w:val="003A532D"/>
    <w:rsid w:val="003A7A33"/>
    <w:rsid w:val="003B3D7A"/>
    <w:rsid w:val="003B6CA2"/>
    <w:rsid w:val="003C378C"/>
    <w:rsid w:val="003C55A4"/>
    <w:rsid w:val="003C6CE3"/>
    <w:rsid w:val="003D23FD"/>
    <w:rsid w:val="003D5E43"/>
    <w:rsid w:val="003E206E"/>
    <w:rsid w:val="003E3191"/>
    <w:rsid w:val="003E41A6"/>
    <w:rsid w:val="003E577E"/>
    <w:rsid w:val="003E6021"/>
    <w:rsid w:val="003E6796"/>
    <w:rsid w:val="003E7203"/>
    <w:rsid w:val="003F2172"/>
    <w:rsid w:val="003F667F"/>
    <w:rsid w:val="0040207E"/>
    <w:rsid w:val="00411167"/>
    <w:rsid w:val="00414338"/>
    <w:rsid w:val="0041531D"/>
    <w:rsid w:val="00417DCB"/>
    <w:rsid w:val="0042228F"/>
    <w:rsid w:val="00424396"/>
    <w:rsid w:val="0042577D"/>
    <w:rsid w:val="00427645"/>
    <w:rsid w:val="00430F12"/>
    <w:rsid w:val="00432C94"/>
    <w:rsid w:val="00433A0A"/>
    <w:rsid w:val="0044164F"/>
    <w:rsid w:val="00442BCA"/>
    <w:rsid w:val="0044492F"/>
    <w:rsid w:val="00446779"/>
    <w:rsid w:val="00451018"/>
    <w:rsid w:val="00453B70"/>
    <w:rsid w:val="00455068"/>
    <w:rsid w:val="00462881"/>
    <w:rsid w:val="0046382E"/>
    <w:rsid w:val="00463C58"/>
    <w:rsid w:val="00463F79"/>
    <w:rsid w:val="00464D30"/>
    <w:rsid w:val="00476F4C"/>
    <w:rsid w:val="00480FDF"/>
    <w:rsid w:val="004821D9"/>
    <w:rsid w:val="00484317"/>
    <w:rsid w:val="00484DD2"/>
    <w:rsid w:val="00490DE6"/>
    <w:rsid w:val="004919C1"/>
    <w:rsid w:val="0049459D"/>
    <w:rsid w:val="00495E0F"/>
    <w:rsid w:val="004A10ED"/>
    <w:rsid w:val="004A3662"/>
    <w:rsid w:val="004A3922"/>
    <w:rsid w:val="004A5127"/>
    <w:rsid w:val="004A6EF0"/>
    <w:rsid w:val="004B2B68"/>
    <w:rsid w:val="004B41F9"/>
    <w:rsid w:val="004C103F"/>
    <w:rsid w:val="004C181D"/>
    <w:rsid w:val="004C3C6C"/>
    <w:rsid w:val="004C438C"/>
    <w:rsid w:val="004C49D5"/>
    <w:rsid w:val="004C5455"/>
    <w:rsid w:val="004C62A0"/>
    <w:rsid w:val="004D5B7E"/>
    <w:rsid w:val="004E0273"/>
    <w:rsid w:val="004E0A1B"/>
    <w:rsid w:val="004E2162"/>
    <w:rsid w:val="004E36C1"/>
    <w:rsid w:val="004E7164"/>
    <w:rsid w:val="004E7781"/>
    <w:rsid w:val="004F0720"/>
    <w:rsid w:val="004F270D"/>
    <w:rsid w:val="004F4C6D"/>
    <w:rsid w:val="004F6007"/>
    <w:rsid w:val="004F6409"/>
    <w:rsid w:val="005012A4"/>
    <w:rsid w:val="005021E4"/>
    <w:rsid w:val="00502E5E"/>
    <w:rsid w:val="005041C0"/>
    <w:rsid w:val="0050544E"/>
    <w:rsid w:val="00511B94"/>
    <w:rsid w:val="005135DF"/>
    <w:rsid w:val="00516BCD"/>
    <w:rsid w:val="00522641"/>
    <w:rsid w:val="00524D40"/>
    <w:rsid w:val="0052728D"/>
    <w:rsid w:val="00541CA5"/>
    <w:rsid w:val="00542C29"/>
    <w:rsid w:val="005443B5"/>
    <w:rsid w:val="005475C2"/>
    <w:rsid w:val="00553B25"/>
    <w:rsid w:val="00554F07"/>
    <w:rsid w:val="00556307"/>
    <w:rsid w:val="00557CE2"/>
    <w:rsid w:val="00563FC8"/>
    <w:rsid w:val="00564DD1"/>
    <w:rsid w:val="00566F55"/>
    <w:rsid w:val="00572252"/>
    <w:rsid w:val="005750E4"/>
    <w:rsid w:val="005778B4"/>
    <w:rsid w:val="00580BB8"/>
    <w:rsid w:val="00585016"/>
    <w:rsid w:val="0058526E"/>
    <w:rsid w:val="005861E4"/>
    <w:rsid w:val="00586858"/>
    <w:rsid w:val="0059020D"/>
    <w:rsid w:val="0059225E"/>
    <w:rsid w:val="005931EF"/>
    <w:rsid w:val="0059377B"/>
    <w:rsid w:val="0059753A"/>
    <w:rsid w:val="005A17A3"/>
    <w:rsid w:val="005A185B"/>
    <w:rsid w:val="005A1B26"/>
    <w:rsid w:val="005A2A99"/>
    <w:rsid w:val="005A354C"/>
    <w:rsid w:val="005A3628"/>
    <w:rsid w:val="005A3CD3"/>
    <w:rsid w:val="005A6874"/>
    <w:rsid w:val="005B05EC"/>
    <w:rsid w:val="005B352E"/>
    <w:rsid w:val="005C0FE6"/>
    <w:rsid w:val="005C3998"/>
    <w:rsid w:val="005C5813"/>
    <w:rsid w:val="005C7CF0"/>
    <w:rsid w:val="005D2DCA"/>
    <w:rsid w:val="005D2EBA"/>
    <w:rsid w:val="005D3379"/>
    <w:rsid w:val="005E3FF2"/>
    <w:rsid w:val="005E569E"/>
    <w:rsid w:val="005E5843"/>
    <w:rsid w:val="005E5BD5"/>
    <w:rsid w:val="005E73A4"/>
    <w:rsid w:val="005F5077"/>
    <w:rsid w:val="005F65E4"/>
    <w:rsid w:val="005F7948"/>
    <w:rsid w:val="00600CFD"/>
    <w:rsid w:val="00601C0F"/>
    <w:rsid w:val="00603654"/>
    <w:rsid w:val="00603E6B"/>
    <w:rsid w:val="00604FA7"/>
    <w:rsid w:val="006110AF"/>
    <w:rsid w:val="00614062"/>
    <w:rsid w:val="006140EE"/>
    <w:rsid w:val="0061421F"/>
    <w:rsid w:val="00616185"/>
    <w:rsid w:val="0062258C"/>
    <w:rsid w:val="00623AD0"/>
    <w:rsid w:val="00627A30"/>
    <w:rsid w:val="00627F8D"/>
    <w:rsid w:val="006324EB"/>
    <w:rsid w:val="00632972"/>
    <w:rsid w:val="00640026"/>
    <w:rsid w:val="00642431"/>
    <w:rsid w:val="00643D4E"/>
    <w:rsid w:val="00643E90"/>
    <w:rsid w:val="006472F9"/>
    <w:rsid w:val="00647E5D"/>
    <w:rsid w:val="00647FBE"/>
    <w:rsid w:val="006503E4"/>
    <w:rsid w:val="0065294B"/>
    <w:rsid w:val="00653603"/>
    <w:rsid w:val="00654547"/>
    <w:rsid w:val="00657566"/>
    <w:rsid w:val="00662F30"/>
    <w:rsid w:val="00663B61"/>
    <w:rsid w:val="00664FAB"/>
    <w:rsid w:val="00666A6F"/>
    <w:rsid w:val="0066728E"/>
    <w:rsid w:val="00672F7D"/>
    <w:rsid w:val="00676EA4"/>
    <w:rsid w:val="00681541"/>
    <w:rsid w:val="006820FF"/>
    <w:rsid w:val="006826C6"/>
    <w:rsid w:val="00684144"/>
    <w:rsid w:val="00684408"/>
    <w:rsid w:val="00684D61"/>
    <w:rsid w:val="006907B9"/>
    <w:rsid w:val="006909A8"/>
    <w:rsid w:val="00691669"/>
    <w:rsid w:val="0069173C"/>
    <w:rsid w:val="00691A87"/>
    <w:rsid w:val="00692627"/>
    <w:rsid w:val="00694A1C"/>
    <w:rsid w:val="00694C2A"/>
    <w:rsid w:val="00695762"/>
    <w:rsid w:val="00697EF4"/>
    <w:rsid w:val="006A1E94"/>
    <w:rsid w:val="006A4496"/>
    <w:rsid w:val="006A6EE9"/>
    <w:rsid w:val="006B01D2"/>
    <w:rsid w:val="006B124F"/>
    <w:rsid w:val="006B24E3"/>
    <w:rsid w:val="006B410C"/>
    <w:rsid w:val="006B479F"/>
    <w:rsid w:val="006B703E"/>
    <w:rsid w:val="006C22D3"/>
    <w:rsid w:val="006C6A9A"/>
    <w:rsid w:val="006D28E3"/>
    <w:rsid w:val="006D3BE5"/>
    <w:rsid w:val="006D4199"/>
    <w:rsid w:val="006D4244"/>
    <w:rsid w:val="006D6BBE"/>
    <w:rsid w:val="006E18FF"/>
    <w:rsid w:val="006E2A6C"/>
    <w:rsid w:val="006E3550"/>
    <w:rsid w:val="006E3D8C"/>
    <w:rsid w:val="006E7CD4"/>
    <w:rsid w:val="006F07AE"/>
    <w:rsid w:val="006F1E7E"/>
    <w:rsid w:val="006F205F"/>
    <w:rsid w:val="006F5264"/>
    <w:rsid w:val="006F6D8E"/>
    <w:rsid w:val="006F7120"/>
    <w:rsid w:val="006F775F"/>
    <w:rsid w:val="00701E96"/>
    <w:rsid w:val="0070246D"/>
    <w:rsid w:val="007038A7"/>
    <w:rsid w:val="007079B4"/>
    <w:rsid w:val="00711CCF"/>
    <w:rsid w:val="0071583D"/>
    <w:rsid w:val="007202AA"/>
    <w:rsid w:val="00720750"/>
    <w:rsid w:val="00720F99"/>
    <w:rsid w:val="007221AD"/>
    <w:rsid w:val="00725736"/>
    <w:rsid w:val="00727F97"/>
    <w:rsid w:val="007335A8"/>
    <w:rsid w:val="0074510B"/>
    <w:rsid w:val="00745431"/>
    <w:rsid w:val="007459F0"/>
    <w:rsid w:val="00745FB4"/>
    <w:rsid w:val="00746132"/>
    <w:rsid w:val="00747364"/>
    <w:rsid w:val="00747FEF"/>
    <w:rsid w:val="0075746A"/>
    <w:rsid w:val="00760C46"/>
    <w:rsid w:val="0076135D"/>
    <w:rsid w:val="00761641"/>
    <w:rsid w:val="00762309"/>
    <w:rsid w:val="00765642"/>
    <w:rsid w:val="00766775"/>
    <w:rsid w:val="0077154D"/>
    <w:rsid w:val="00771FF4"/>
    <w:rsid w:val="00772FF2"/>
    <w:rsid w:val="00773590"/>
    <w:rsid w:val="00773CA1"/>
    <w:rsid w:val="007746F2"/>
    <w:rsid w:val="0077597F"/>
    <w:rsid w:val="00776AC9"/>
    <w:rsid w:val="0077721F"/>
    <w:rsid w:val="00777BC7"/>
    <w:rsid w:val="00780C07"/>
    <w:rsid w:val="00782217"/>
    <w:rsid w:val="00790143"/>
    <w:rsid w:val="00791A2B"/>
    <w:rsid w:val="0079471B"/>
    <w:rsid w:val="0079726F"/>
    <w:rsid w:val="007A0F97"/>
    <w:rsid w:val="007A1593"/>
    <w:rsid w:val="007A1A84"/>
    <w:rsid w:val="007A49C0"/>
    <w:rsid w:val="007A5803"/>
    <w:rsid w:val="007A7EDE"/>
    <w:rsid w:val="007B0257"/>
    <w:rsid w:val="007B04EC"/>
    <w:rsid w:val="007B3520"/>
    <w:rsid w:val="007B39C1"/>
    <w:rsid w:val="007B7040"/>
    <w:rsid w:val="007B79EF"/>
    <w:rsid w:val="007C12E6"/>
    <w:rsid w:val="007C1553"/>
    <w:rsid w:val="007C3142"/>
    <w:rsid w:val="007C4ECB"/>
    <w:rsid w:val="007D264F"/>
    <w:rsid w:val="007D7744"/>
    <w:rsid w:val="007E1D21"/>
    <w:rsid w:val="007E3166"/>
    <w:rsid w:val="007E629B"/>
    <w:rsid w:val="007F00B7"/>
    <w:rsid w:val="007F1157"/>
    <w:rsid w:val="007F300D"/>
    <w:rsid w:val="007F39CB"/>
    <w:rsid w:val="007F473F"/>
    <w:rsid w:val="007F755B"/>
    <w:rsid w:val="00806091"/>
    <w:rsid w:val="00806C01"/>
    <w:rsid w:val="00807F44"/>
    <w:rsid w:val="00810AB0"/>
    <w:rsid w:val="00810C3F"/>
    <w:rsid w:val="00811BF3"/>
    <w:rsid w:val="00811E3A"/>
    <w:rsid w:val="00812DBE"/>
    <w:rsid w:val="00816A35"/>
    <w:rsid w:val="00817F03"/>
    <w:rsid w:val="0082270F"/>
    <w:rsid w:val="00825604"/>
    <w:rsid w:val="008270CA"/>
    <w:rsid w:val="008326E6"/>
    <w:rsid w:val="00833A52"/>
    <w:rsid w:val="008340C0"/>
    <w:rsid w:val="00835767"/>
    <w:rsid w:val="00837122"/>
    <w:rsid w:val="00840583"/>
    <w:rsid w:val="008437B2"/>
    <w:rsid w:val="00844E0A"/>
    <w:rsid w:val="0085419D"/>
    <w:rsid w:val="00855C56"/>
    <w:rsid w:val="0086097A"/>
    <w:rsid w:val="00860B7C"/>
    <w:rsid w:val="0086254B"/>
    <w:rsid w:val="00863B49"/>
    <w:rsid w:val="008642DD"/>
    <w:rsid w:val="00864981"/>
    <w:rsid w:val="00865EE6"/>
    <w:rsid w:val="00866CC4"/>
    <w:rsid w:val="00867453"/>
    <w:rsid w:val="0086745C"/>
    <w:rsid w:val="00870667"/>
    <w:rsid w:val="008706F6"/>
    <w:rsid w:val="00880137"/>
    <w:rsid w:val="00885B39"/>
    <w:rsid w:val="00885FB6"/>
    <w:rsid w:val="00887C0B"/>
    <w:rsid w:val="00893EEF"/>
    <w:rsid w:val="00894BBA"/>
    <w:rsid w:val="00894DBD"/>
    <w:rsid w:val="0089578B"/>
    <w:rsid w:val="00897D3D"/>
    <w:rsid w:val="008A1316"/>
    <w:rsid w:val="008A2BEB"/>
    <w:rsid w:val="008A6D12"/>
    <w:rsid w:val="008B24FE"/>
    <w:rsid w:val="008B2618"/>
    <w:rsid w:val="008B3D87"/>
    <w:rsid w:val="008B43DF"/>
    <w:rsid w:val="008B4AD0"/>
    <w:rsid w:val="008C6AB9"/>
    <w:rsid w:val="008D00FD"/>
    <w:rsid w:val="008D19C1"/>
    <w:rsid w:val="008D1E67"/>
    <w:rsid w:val="008D21B7"/>
    <w:rsid w:val="008D3279"/>
    <w:rsid w:val="008D3B98"/>
    <w:rsid w:val="008D45D9"/>
    <w:rsid w:val="008D6F21"/>
    <w:rsid w:val="008D7760"/>
    <w:rsid w:val="008E0AA0"/>
    <w:rsid w:val="008E17A6"/>
    <w:rsid w:val="008E26F8"/>
    <w:rsid w:val="008E40EA"/>
    <w:rsid w:val="008E426C"/>
    <w:rsid w:val="008F6E7D"/>
    <w:rsid w:val="009015AF"/>
    <w:rsid w:val="009029AB"/>
    <w:rsid w:val="0090563E"/>
    <w:rsid w:val="009063FF"/>
    <w:rsid w:val="0091022E"/>
    <w:rsid w:val="00913FCA"/>
    <w:rsid w:val="00913FF5"/>
    <w:rsid w:val="0091482B"/>
    <w:rsid w:val="009164DD"/>
    <w:rsid w:val="00931DA3"/>
    <w:rsid w:val="00932D3B"/>
    <w:rsid w:val="0093413F"/>
    <w:rsid w:val="00934EF4"/>
    <w:rsid w:val="00936458"/>
    <w:rsid w:val="009424CC"/>
    <w:rsid w:val="00944D25"/>
    <w:rsid w:val="00952B2D"/>
    <w:rsid w:val="009531E5"/>
    <w:rsid w:val="00956374"/>
    <w:rsid w:val="00957654"/>
    <w:rsid w:val="00965337"/>
    <w:rsid w:val="00965503"/>
    <w:rsid w:val="00966F34"/>
    <w:rsid w:val="00967EAA"/>
    <w:rsid w:val="00971C6B"/>
    <w:rsid w:val="00974369"/>
    <w:rsid w:val="00976317"/>
    <w:rsid w:val="009812E7"/>
    <w:rsid w:val="00982A83"/>
    <w:rsid w:val="00983A3C"/>
    <w:rsid w:val="00983EC0"/>
    <w:rsid w:val="009919FC"/>
    <w:rsid w:val="00991F51"/>
    <w:rsid w:val="00992364"/>
    <w:rsid w:val="009976EC"/>
    <w:rsid w:val="009A0963"/>
    <w:rsid w:val="009A26A9"/>
    <w:rsid w:val="009A27EE"/>
    <w:rsid w:val="009B2185"/>
    <w:rsid w:val="009C0385"/>
    <w:rsid w:val="009C170B"/>
    <w:rsid w:val="009C1FC6"/>
    <w:rsid w:val="009C2151"/>
    <w:rsid w:val="009C2364"/>
    <w:rsid w:val="009C3C13"/>
    <w:rsid w:val="009C637F"/>
    <w:rsid w:val="009C65AF"/>
    <w:rsid w:val="009C7E70"/>
    <w:rsid w:val="009D31F8"/>
    <w:rsid w:val="009D4420"/>
    <w:rsid w:val="009D600E"/>
    <w:rsid w:val="009D6DC7"/>
    <w:rsid w:val="009E3BA1"/>
    <w:rsid w:val="009E428E"/>
    <w:rsid w:val="009E60E9"/>
    <w:rsid w:val="009F3336"/>
    <w:rsid w:val="009F59A9"/>
    <w:rsid w:val="009F5F58"/>
    <w:rsid w:val="009F7112"/>
    <w:rsid w:val="00A0003C"/>
    <w:rsid w:val="00A00981"/>
    <w:rsid w:val="00A01497"/>
    <w:rsid w:val="00A02082"/>
    <w:rsid w:val="00A03D93"/>
    <w:rsid w:val="00A11298"/>
    <w:rsid w:val="00A11332"/>
    <w:rsid w:val="00A12F0E"/>
    <w:rsid w:val="00A13F16"/>
    <w:rsid w:val="00A15AEC"/>
    <w:rsid w:val="00A179FE"/>
    <w:rsid w:val="00A203AB"/>
    <w:rsid w:val="00A23B3E"/>
    <w:rsid w:val="00A23C13"/>
    <w:rsid w:val="00A30064"/>
    <w:rsid w:val="00A30395"/>
    <w:rsid w:val="00A33C0B"/>
    <w:rsid w:val="00A34B48"/>
    <w:rsid w:val="00A36B9D"/>
    <w:rsid w:val="00A3745E"/>
    <w:rsid w:val="00A40590"/>
    <w:rsid w:val="00A44D48"/>
    <w:rsid w:val="00A455F6"/>
    <w:rsid w:val="00A47367"/>
    <w:rsid w:val="00A47CF5"/>
    <w:rsid w:val="00A51A12"/>
    <w:rsid w:val="00A51AD2"/>
    <w:rsid w:val="00A52AC9"/>
    <w:rsid w:val="00A535C2"/>
    <w:rsid w:val="00A55E87"/>
    <w:rsid w:val="00A56BB9"/>
    <w:rsid w:val="00A577B6"/>
    <w:rsid w:val="00A57CC9"/>
    <w:rsid w:val="00A57EB5"/>
    <w:rsid w:val="00A606DC"/>
    <w:rsid w:val="00A662D0"/>
    <w:rsid w:val="00A72281"/>
    <w:rsid w:val="00A7235B"/>
    <w:rsid w:val="00A74049"/>
    <w:rsid w:val="00A74842"/>
    <w:rsid w:val="00A81290"/>
    <w:rsid w:val="00A8175F"/>
    <w:rsid w:val="00A85712"/>
    <w:rsid w:val="00A9049B"/>
    <w:rsid w:val="00A91FFB"/>
    <w:rsid w:val="00A92421"/>
    <w:rsid w:val="00A92B97"/>
    <w:rsid w:val="00A94CF8"/>
    <w:rsid w:val="00A94D87"/>
    <w:rsid w:val="00AA28BE"/>
    <w:rsid w:val="00AA3F22"/>
    <w:rsid w:val="00AB2234"/>
    <w:rsid w:val="00AB4453"/>
    <w:rsid w:val="00AB4DE0"/>
    <w:rsid w:val="00AB615B"/>
    <w:rsid w:val="00AC096B"/>
    <w:rsid w:val="00AC3CF9"/>
    <w:rsid w:val="00AC475C"/>
    <w:rsid w:val="00AC52D8"/>
    <w:rsid w:val="00AD07E8"/>
    <w:rsid w:val="00AD07F2"/>
    <w:rsid w:val="00AD2CF3"/>
    <w:rsid w:val="00AD33D1"/>
    <w:rsid w:val="00AD624B"/>
    <w:rsid w:val="00AD6D0B"/>
    <w:rsid w:val="00AD77D1"/>
    <w:rsid w:val="00AE0903"/>
    <w:rsid w:val="00AE2ECC"/>
    <w:rsid w:val="00AE2F2E"/>
    <w:rsid w:val="00AE5E67"/>
    <w:rsid w:val="00AE6E34"/>
    <w:rsid w:val="00AF1E2C"/>
    <w:rsid w:val="00AF20E5"/>
    <w:rsid w:val="00AF2C05"/>
    <w:rsid w:val="00AF7CBA"/>
    <w:rsid w:val="00B0290E"/>
    <w:rsid w:val="00B033DA"/>
    <w:rsid w:val="00B061A5"/>
    <w:rsid w:val="00B1200A"/>
    <w:rsid w:val="00B14D15"/>
    <w:rsid w:val="00B16F1A"/>
    <w:rsid w:val="00B17F18"/>
    <w:rsid w:val="00B25C8C"/>
    <w:rsid w:val="00B30FD6"/>
    <w:rsid w:val="00B31B26"/>
    <w:rsid w:val="00B32E1D"/>
    <w:rsid w:val="00B338BA"/>
    <w:rsid w:val="00B35DE5"/>
    <w:rsid w:val="00B37CA5"/>
    <w:rsid w:val="00B4406F"/>
    <w:rsid w:val="00B51E33"/>
    <w:rsid w:val="00B57D07"/>
    <w:rsid w:val="00B60380"/>
    <w:rsid w:val="00B6051E"/>
    <w:rsid w:val="00B621D4"/>
    <w:rsid w:val="00B67489"/>
    <w:rsid w:val="00B7092D"/>
    <w:rsid w:val="00B71341"/>
    <w:rsid w:val="00B722C9"/>
    <w:rsid w:val="00B764D9"/>
    <w:rsid w:val="00B76EC7"/>
    <w:rsid w:val="00B77620"/>
    <w:rsid w:val="00B809D9"/>
    <w:rsid w:val="00B822A4"/>
    <w:rsid w:val="00B82538"/>
    <w:rsid w:val="00B86A73"/>
    <w:rsid w:val="00B900AB"/>
    <w:rsid w:val="00B94EB7"/>
    <w:rsid w:val="00B97723"/>
    <w:rsid w:val="00BA0460"/>
    <w:rsid w:val="00BA51BF"/>
    <w:rsid w:val="00BA5E5B"/>
    <w:rsid w:val="00BA70D6"/>
    <w:rsid w:val="00BB30A9"/>
    <w:rsid w:val="00BB42C1"/>
    <w:rsid w:val="00BB43E9"/>
    <w:rsid w:val="00BB79CD"/>
    <w:rsid w:val="00BC190C"/>
    <w:rsid w:val="00BC30AF"/>
    <w:rsid w:val="00BC7554"/>
    <w:rsid w:val="00BD4DDC"/>
    <w:rsid w:val="00BD6A47"/>
    <w:rsid w:val="00BD7244"/>
    <w:rsid w:val="00BD7F0A"/>
    <w:rsid w:val="00BE0586"/>
    <w:rsid w:val="00BE1351"/>
    <w:rsid w:val="00BE3D1A"/>
    <w:rsid w:val="00BE4194"/>
    <w:rsid w:val="00BE49F1"/>
    <w:rsid w:val="00BE52A1"/>
    <w:rsid w:val="00BF0FD1"/>
    <w:rsid w:val="00BF35F9"/>
    <w:rsid w:val="00BF3B82"/>
    <w:rsid w:val="00BF6B52"/>
    <w:rsid w:val="00BF7B71"/>
    <w:rsid w:val="00C00DBF"/>
    <w:rsid w:val="00C01AFF"/>
    <w:rsid w:val="00C044F3"/>
    <w:rsid w:val="00C044FD"/>
    <w:rsid w:val="00C04A03"/>
    <w:rsid w:val="00C05632"/>
    <w:rsid w:val="00C0756F"/>
    <w:rsid w:val="00C10101"/>
    <w:rsid w:val="00C11D21"/>
    <w:rsid w:val="00C15CF1"/>
    <w:rsid w:val="00C168C7"/>
    <w:rsid w:val="00C205AE"/>
    <w:rsid w:val="00C227AA"/>
    <w:rsid w:val="00C228FD"/>
    <w:rsid w:val="00C249EF"/>
    <w:rsid w:val="00C25643"/>
    <w:rsid w:val="00C30D63"/>
    <w:rsid w:val="00C325E6"/>
    <w:rsid w:val="00C32C28"/>
    <w:rsid w:val="00C41EFC"/>
    <w:rsid w:val="00C43783"/>
    <w:rsid w:val="00C459C6"/>
    <w:rsid w:val="00C47FB5"/>
    <w:rsid w:val="00C50CC5"/>
    <w:rsid w:val="00C53910"/>
    <w:rsid w:val="00C53AF7"/>
    <w:rsid w:val="00C550C4"/>
    <w:rsid w:val="00C56285"/>
    <w:rsid w:val="00C571B1"/>
    <w:rsid w:val="00C57744"/>
    <w:rsid w:val="00C649E5"/>
    <w:rsid w:val="00C64EEF"/>
    <w:rsid w:val="00C70DD4"/>
    <w:rsid w:val="00C73BF5"/>
    <w:rsid w:val="00C7720D"/>
    <w:rsid w:val="00C83BEB"/>
    <w:rsid w:val="00C860B0"/>
    <w:rsid w:val="00C90A7D"/>
    <w:rsid w:val="00C91119"/>
    <w:rsid w:val="00C94296"/>
    <w:rsid w:val="00C94C28"/>
    <w:rsid w:val="00CA1D38"/>
    <w:rsid w:val="00CA52A5"/>
    <w:rsid w:val="00CA5781"/>
    <w:rsid w:val="00CB182D"/>
    <w:rsid w:val="00CB2CC3"/>
    <w:rsid w:val="00CC7DFD"/>
    <w:rsid w:val="00CD493E"/>
    <w:rsid w:val="00CD4C55"/>
    <w:rsid w:val="00CD4D8D"/>
    <w:rsid w:val="00CD5FC0"/>
    <w:rsid w:val="00CE0D98"/>
    <w:rsid w:val="00CE1FA3"/>
    <w:rsid w:val="00CE318C"/>
    <w:rsid w:val="00CF1A10"/>
    <w:rsid w:val="00CF23F3"/>
    <w:rsid w:val="00CF30CE"/>
    <w:rsid w:val="00CF40B1"/>
    <w:rsid w:val="00CF6C27"/>
    <w:rsid w:val="00CF6F26"/>
    <w:rsid w:val="00D02BC3"/>
    <w:rsid w:val="00D06B89"/>
    <w:rsid w:val="00D13E1D"/>
    <w:rsid w:val="00D152CC"/>
    <w:rsid w:val="00D159CE"/>
    <w:rsid w:val="00D21DA1"/>
    <w:rsid w:val="00D26CA4"/>
    <w:rsid w:val="00D31BE7"/>
    <w:rsid w:val="00D343C8"/>
    <w:rsid w:val="00D4250A"/>
    <w:rsid w:val="00D45000"/>
    <w:rsid w:val="00D4634B"/>
    <w:rsid w:val="00D507DC"/>
    <w:rsid w:val="00D52728"/>
    <w:rsid w:val="00D55433"/>
    <w:rsid w:val="00D558EE"/>
    <w:rsid w:val="00D56529"/>
    <w:rsid w:val="00D60F40"/>
    <w:rsid w:val="00D640D0"/>
    <w:rsid w:val="00D652E4"/>
    <w:rsid w:val="00D6553D"/>
    <w:rsid w:val="00D67217"/>
    <w:rsid w:val="00D675DC"/>
    <w:rsid w:val="00D71315"/>
    <w:rsid w:val="00D72DAA"/>
    <w:rsid w:val="00D7529F"/>
    <w:rsid w:val="00D75E92"/>
    <w:rsid w:val="00D76AEC"/>
    <w:rsid w:val="00D77FB6"/>
    <w:rsid w:val="00D815F6"/>
    <w:rsid w:val="00D83D77"/>
    <w:rsid w:val="00D8484A"/>
    <w:rsid w:val="00D904BA"/>
    <w:rsid w:val="00D90854"/>
    <w:rsid w:val="00D90CF5"/>
    <w:rsid w:val="00D917F6"/>
    <w:rsid w:val="00D91A13"/>
    <w:rsid w:val="00D92C66"/>
    <w:rsid w:val="00D978DE"/>
    <w:rsid w:val="00DA0C6E"/>
    <w:rsid w:val="00DA13CA"/>
    <w:rsid w:val="00DA6A66"/>
    <w:rsid w:val="00DA7673"/>
    <w:rsid w:val="00DB5014"/>
    <w:rsid w:val="00DB7F2B"/>
    <w:rsid w:val="00DC03B3"/>
    <w:rsid w:val="00DC07F0"/>
    <w:rsid w:val="00DC20C2"/>
    <w:rsid w:val="00DC448F"/>
    <w:rsid w:val="00DC5194"/>
    <w:rsid w:val="00DC61D4"/>
    <w:rsid w:val="00DD10E4"/>
    <w:rsid w:val="00DD171A"/>
    <w:rsid w:val="00DD2938"/>
    <w:rsid w:val="00DD5601"/>
    <w:rsid w:val="00DF0513"/>
    <w:rsid w:val="00DF2F0F"/>
    <w:rsid w:val="00DF3847"/>
    <w:rsid w:val="00DF5A1C"/>
    <w:rsid w:val="00E03113"/>
    <w:rsid w:val="00E12D6F"/>
    <w:rsid w:val="00E13558"/>
    <w:rsid w:val="00E13E88"/>
    <w:rsid w:val="00E144E0"/>
    <w:rsid w:val="00E15BCF"/>
    <w:rsid w:val="00E16B75"/>
    <w:rsid w:val="00E2136D"/>
    <w:rsid w:val="00E23166"/>
    <w:rsid w:val="00E23268"/>
    <w:rsid w:val="00E23573"/>
    <w:rsid w:val="00E268F9"/>
    <w:rsid w:val="00E279B1"/>
    <w:rsid w:val="00E27A17"/>
    <w:rsid w:val="00E32D7F"/>
    <w:rsid w:val="00E35067"/>
    <w:rsid w:val="00E36C7C"/>
    <w:rsid w:val="00E37BA8"/>
    <w:rsid w:val="00E37DA8"/>
    <w:rsid w:val="00E43276"/>
    <w:rsid w:val="00E44497"/>
    <w:rsid w:val="00E54F97"/>
    <w:rsid w:val="00E56617"/>
    <w:rsid w:val="00E60579"/>
    <w:rsid w:val="00E614F8"/>
    <w:rsid w:val="00E67E5A"/>
    <w:rsid w:val="00E71144"/>
    <w:rsid w:val="00E71CD3"/>
    <w:rsid w:val="00E72EAE"/>
    <w:rsid w:val="00E73FA5"/>
    <w:rsid w:val="00E74225"/>
    <w:rsid w:val="00E76BAB"/>
    <w:rsid w:val="00E76D3A"/>
    <w:rsid w:val="00E771A2"/>
    <w:rsid w:val="00E8300F"/>
    <w:rsid w:val="00E84635"/>
    <w:rsid w:val="00E85B57"/>
    <w:rsid w:val="00E86AC3"/>
    <w:rsid w:val="00E90844"/>
    <w:rsid w:val="00E91AA1"/>
    <w:rsid w:val="00E954F1"/>
    <w:rsid w:val="00E968AA"/>
    <w:rsid w:val="00EA05CF"/>
    <w:rsid w:val="00EA201B"/>
    <w:rsid w:val="00EA2514"/>
    <w:rsid w:val="00EA3886"/>
    <w:rsid w:val="00EA3E4B"/>
    <w:rsid w:val="00EA7163"/>
    <w:rsid w:val="00EB00CE"/>
    <w:rsid w:val="00EB1E1D"/>
    <w:rsid w:val="00EB4544"/>
    <w:rsid w:val="00EC0A9C"/>
    <w:rsid w:val="00EC35E6"/>
    <w:rsid w:val="00EC36AD"/>
    <w:rsid w:val="00EC3CB8"/>
    <w:rsid w:val="00EC531F"/>
    <w:rsid w:val="00EC68DC"/>
    <w:rsid w:val="00EC743A"/>
    <w:rsid w:val="00ED1FD2"/>
    <w:rsid w:val="00ED2BF6"/>
    <w:rsid w:val="00ED34F0"/>
    <w:rsid w:val="00ED3AF7"/>
    <w:rsid w:val="00EE624A"/>
    <w:rsid w:val="00EF0998"/>
    <w:rsid w:val="00EF0D2D"/>
    <w:rsid w:val="00EF1078"/>
    <w:rsid w:val="00EF113E"/>
    <w:rsid w:val="00EF1819"/>
    <w:rsid w:val="00EF26D2"/>
    <w:rsid w:val="00EF7788"/>
    <w:rsid w:val="00F02423"/>
    <w:rsid w:val="00F03584"/>
    <w:rsid w:val="00F10E78"/>
    <w:rsid w:val="00F11B5E"/>
    <w:rsid w:val="00F11F8C"/>
    <w:rsid w:val="00F24CBB"/>
    <w:rsid w:val="00F26180"/>
    <w:rsid w:val="00F2693B"/>
    <w:rsid w:val="00F27152"/>
    <w:rsid w:val="00F27A1A"/>
    <w:rsid w:val="00F3338D"/>
    <w:rsid w:val="00F36D2F"/>
    <w:rsid w:val="00F40AFE"/>
    <w:rsid w:val="00F41B23"/>
    <w:rsid w:val="00F42FEB"/>
    <w:rsid w:val="00F44769"/>
    <w:rsid w:val="00F44BA8"/>
    <w:rsid w:val="00F44FA5"/>
    <w:rsid w:val="00F460A0"/>
    <w:rsid w:val="00F50E75"/>
    <w:rsid w:val="00F520CB"/>
    <w:rsid w:val="00F5540F"/>
    <w:rsid w:val="00F56357"/>
    <w:rsid w:val="00F60023"/>
    <w:rsid w:val="00F601A8"/>
    <w:rsid w:val="00F603F9"/>
    <w:rsid w:val="00F63E27"/>
    <w:rsid w:val="00F64B12"/>
    <w:rsid w:val="00F65893"/>
    <w:rsid w:val="00F7241E"/>
    <w:rsid w:val="00F72434"/>
    <w:rsid w:val="00F7314D"/>
    <w:rsid w:val="00F73CDD"/>
    <w:rsid w:val="00F73EE1"/>
    <w:rsid w:val="00F73FB9"/>
    <w:rsid w:val="00F7529B"/>
    <w:rsid w:val="00F75BA5"/>
    <w:rsid w:val="00F765A1"/>
    <w:rsid w:val="00F773A5"/>
    <w:rsid w:val="00F77574"/>
    <w:rsid w:val="00F81BF2"/>
    <w:rsid w:val="00F85460"/>
    <w:rsid w:val="00F872A3"/>
    <w:rsid w:val="00F8748B"/>
    <w:rsid w:val="00F87E62"/>
    <w:rsid w:val="00F902B2"/>
    <w:rsid w:val="00F953CE"/>
    <w:rsid w:val="00F96C3D"/>
    <w:rsid w:val="00F979D9"/>
    <w:rsid w:val="00FA35A5"/>
    <w:rsid w:val="00FA6485"/>
    <w:rsid w:val="00FB082A"/>
    <w:rsid w:val="00FB4F00"/>
    <w:rsid w:val="00FB5495"/>
    <w:rsid w:val="00FB6169"/>
    <w:rsid w:val="00FB7AED"/>
    <w:rsid w:val="00FC0276"/>
    <w:rsid w:val="00FC147F"/>
    <w:rsid w:val="00FC4CBB"/>
    <w:rsid w:val="00FD1FF8"/>
    <w:rsid w:val="00FE126C"/>
    <w:rsid w:val="00FE1E33"/>
    <w:rsid w:val="00FE710D"/>
    <w:rsid w:val="00FE7C22"/>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586"/>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2"/>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61421F"/>
    <w:pPr>
      <w:keepNext/>
      <w:numPr>
        <w:ilvl w:val="1"/>
        <w:numId w:val="2"/>
      </w:numPr>
      <w:pBdr>
        <w:bottom w:val="single" w:sz="6" w:space="0" w:color="AAAAAA"/>
      </w:pBdr>
      <w:shd w:val="clear" w:color="auto" w:fill="FFFFFF"/>
      <w:tabs>
        <w:tab w:val="left" w:pos="720"/>
        <w:tab w:val="left" w:pos="1008"/>
        <w:tab w:val="left" w:pos="2002"/>
      </w:tabs>
      <w:suppressAutoHyphens/>
      <w:spacing w:before="240" w:after="60"/>
      <w:ind w:right="-14"/>
      <w:outlineLvl w:val="1"/>
    </w:pPr>
    <w:rPr>
      <w:rFonts w:ascii="Georgia" w:eastAsia="MS Mincho" w:hAnsi="Georgia" w:cs="Arial"/>
      <w:b/>
      <w:bCs/>
      <w:color w:val="000000"/>
      <w:kern w:val="24"/>
      <w:sz w:val="28"/>
      <w:szCs w:val="28"/>
    </w:rPr>
  </w:style>
  <w:style w:type="paragraph" w:styleId="Heading3">
    <w:name w:val="heading 3"/>
    <w:basedOn w:val="Heading2"/>
    <w:next w:val="BodyTextH3"/>
    <w:autoRedefine/>
    <w:qFormat/>
    <w:rsid w:val="00967EAA"/>
    <w:pPr>
      <w:widowControl w:val="0"/>
      <w:numPr>
        <w:ilvl w:val="2"/>
      </w:numPr>
      <w:spacing w:before="120" w:after="0"/>
      <w:ind w:right="-144"/>
      <w:outlineLvl w:val="2"/>
    </w:pPr>
    <w:rPr>
      <w:b w:val="0"/>
      <w:sz w:val="24"/>
      <w:szCs w:val="20"/>
    </w:rPr>
  </w:style>
  <w:style w:type="paragraph" w:styleId="Heading4">
    <w:name w:val="heading 4"/>
    <w:basedOn w:val="Normal"/>
    <w:next w:val="BodyTextH4"/>
    <w:autoRedefine/>
    <w:qFormat/>
    <w:rsid w:val="00600CFD"/>
    <w:pPr>
      <w:keepNext/>
      <w:widowControl w:val="0"/>
      <w:numPr>
        <w:ilvl w:val="3"/>
        <w:numId w:val="2"/>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2"/>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pPr>
      <w:numPr>
        <w:ilvl w:val="6"/>
        <w:numId w:val="2"/>
      </w:numPr>
      <w:spacing w:before="240" w:after="60" w:line="300" w:lineRule="atLeast"/>
      <w:outlineLvl w:val="6"/>
    </w:pPr>
    <w:rPr>
      <w:lang w:val="en-GB"/>
    </w:rPr>
  </w:style>
  <w:style w:type="paragraph" w:styleId="Heading8">
    <w:name w:val="heading 8"/>
    <w:basedOn w:val="Normal"/>
    <w:next w:val="Normal"/>
    <w:pPr>
      <w:numPr>
        <w:ilvl w:val="7"/>
        <w:numId w:val="2"/>
      </w:numPr>
      <w:spacing w:before="240" w:after="60" w:line="300" w:lineRule="atLeast"/>
      <w:outlineLvl w:val="7"/>
    </w:pPr>
    <w:rPr>
      <w:i/>
      <w:iCs/>
      <w:lang w:val="en-GB"/>
    </w:rPr>
  </w:style>
  <w:style w:type="paragraph" w:styleId="Heading9">
    <w:name w:val="heading 9"/>
    <w:basedOn w:val="Normal"/>
    <w:next w:val="Normal"/>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F42FEB"/>
    <w:pPr>
      <w:keepLines/>
      <w:spacing w:before="0"/>
    </w:pPr>
  </w:style>
  <w:style w:type="paragraph" w:customStyle="1" w:styleId="BodyTextH3">
    <w:name w:val="Body Text H3"/>
    <w:basedOn w:val="BodyText"/>
    <w:autoRedefine/>
    <w:rsid w:val="007F300D"/>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semiHidden/>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3"/>
      </w:numPr>
      <w:pBdr>
        <w:bottom w:val="none" w:sz="0" w:space="0" w:color="auto"/>
      </w:pBdr>
      <w:spacing w:after="120"/>
    </w:pPr>
    <w:rPr>
      <w:caps w:val="0"/>
      <w:kern w:val="32"/>
    </w:rPr>
  </w:style>
  <w:style w:type="paragraph" w:customStyle="1" w:styleId="Level2">
    <w:name w:val="Level 2"/>
    <w:basedOn w:val="Normal"/>
    <w:pPr>
      <w:numPr>
        <w:ilvl w:val="1"/>
        <w:numId w:val="3"/>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3"/>
      </w:numPr>
    </w:pPr>
    <w:rPr>
      <w:b/>
      <w:szCs w:val="20"/>
    </w:rPr>
  </w:style>
  <w:style w:type="character" w:styleId="Strong">
    <w:name w:val="Strong"/>
    <w:uiPriority w:val="22"/>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A12F0E"/>
    <w:pPr>
      <w:tabs>
        <w:tab w:val="left" w:pos="403"/>
        <w:tab w:val="right" w:leader="dot" w:pos="8820"/>
      </w:tabs>
      <w:spacing w:before="0" w:after="0"/>
      <w:ind w:right="-14"/>
    </w:pPr>
    <w:rPr>
      <w:noProof/>
      <w:kern w:val="24"/>
      <w:szCs w:val="20"/>
    </w:rPr>
  </w:style>
  <w:style w:type="paragraph" w:styleId="TOC2">
    <w:name w:val="toc 2"/>
    <w:basedOn w:val="Normal"/>
    <w:next w:val="Normal"/>
    <w:autoRedefine/>
    <w:uiPriority w:val="39"/>
    <w:rsid w:val="00A12F0E"/>
    <w:pPr>
      <w:tabs>
        <w:tab w:val="left" w:pos="720"/>
        <w:tab w:val="right" w:leader="dot" w:pos="8820"/>
      </w:tabs>
      <w:spacing w:before="0" w:after="0"/>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4"/>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5"/>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F11B5E"/>
    <w:pPr>
      <w:keepLines/>
      <w:pageBreakBefore w:val="0"/>
      <w:numPr>
        <w:numId w:val="0"/>
      </w:numPr>
      <w:pBdr>
        <w:bottom w:val="none" w:sz="0" w:space="0" w:color="auto"/>
      </w:pBdr>
      <w:tabs>
        <w:tab w:val="left" w:pos="1440"/>
        <w:tab w:val="left" w:pos="3150"/>
        <w:tab w:val="left" w:pos="4770"/>
      </w:tabs>
      <w:spacing w:before="60" w:after="180" w:line="360" w:lineRule="auto"/>
      <w:ind w:right="4507"/>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6"/>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7"/>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DC5194"/>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7"/>
      </w:numPr>
      <w:ind w:left="1440"/>
    </w:pPr>
  </w:style>
  <w:style w:type="character" w:customStyle="1" w:styleId="mw-headline">
    <w:name w:val="mw-headline"/>
    <w:basedOn w:val="DefaultParagraphFont"/>
    <w:rsid w:val="00A40590"/>
  </w:style>
  <w:style w:type="character" w:customStyle="1" w:styleId="mw-editsection">
    <w:name w:val="mw-editsection"/>
    <w:basedOn w:val="DefaultParagraphFont"/>
    <w:rsid w:val="00A40590"/>
  </w:style>
  <w:style w:type="character" w:customStyle="1" w:styleId="mw-editsection-bracket">
    <w:name w:val="mw-editsection-bracket"/>
    <w:basedOn w:val="DefaultParagraphFont"/>
    <w:rsid w:val="00A40590"/>
  </w:style>
  <w:style w:type="paragraph" w:styleId="ListParagraph">
    <w:name w:val="List Paragraph"/>
    <w:basedOn w:val="Normal"/>
    <w:uiPriority w:val="34"/>
    <w:qFormat/>
    <w:rsid w:val="007746F2"/>
    <w:pPr>
      <w:ind w:left="720"/>
      <w:contextualSpacing/>
    </w:pPr>
  </w:style>
  <w:style w:type="paragraph" w:styleId="NoSpacing">
    <w:name w:val="No Spacing"/>
    <w:uiPriority w:val="1"/>
    <w:qFormat/>
    <w:rsid w:val="00D75E92"/>
    <w:rPr>
      <w:rFonts w:ascii="Arial" w:hAnsi="Arial"/>
      <w:sz w:val="22"/>
      <w:szCs w:val="24"/>
    </w:rPr>
  </w:style>
  <w:style w:type="paragraph" w:styleId="TOCHeading">
    <w:name w:val="TOC Heading"/>
    <w:basedOn w:val="Heading1"/>
    <w:next w:val="Normal"/>
    <w:uiPriority w:val="39"/>
    <w:unhideWhenUsed/>
    <w:qFormat/>
    <w:rsid w:val="00A12F0E"/>
    <w:pPr>
      <w:keepLines/>
      <w:pageBreakBefore w:val="0"/>
      <w:numPr>
        <w:numId w:val="0"/>
      </w:numPr>
      <w:pBdr>
        <w:bottom w:val="none" w:sz="0" w:space="0" w:color="auto"/>
      </w:pBdr>
      <w:spacing w:after="0" w:line="259" w:lineRule="auto"/>
      <w:outlineLvl w:val="9"/>
    </w:pPr>
    <w:rPr>
      <w:rFonts w:asciiTheme="majorHAnsi" w:eastAsiaTheme="majorEastAsia" w:hAnsiTheme="majorHAnsi" w:cstheme="majorBidi"/>
      <w:b w:val="0"/>
      <w:caps w:val="0"/>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270170785">
      <w:bodyDiv w:val="1"/>
      <w:marLeft w:val="0"/>
      <w:marRight w:val="0"/>
      <w:marTop w:val="0"/>
      <w:marBottom w:val="0"/>
      <w:divBdr>
        <w:top w:val="none" w:sz="0" w:space="0" w:color="auto"/>
        <w:left w:val="none" w:sz="0" w:space="0" w:color="auto"/>
        <w:bottom w:val="none" w:sz="0" w:space="0" w:color="auto"/>
        <w:right w:val="none" w:sz="0" w:space="0" w:color="auto"/>
      </w:divBdr>
    </w:div>
    <w:div w:id="295961523">
      <w:bodyDiv w:val="1"/>
      <w:marLeft w:val="0"/>
      <w:marRight w:val="0"/>
      <w:marTop w:val="0"/>
      <w:marBottom w:val="0"/>
      <w:divBdr>
        <w:top w:val="none" w:sz="0" w:space="0" w:color="auto"/>
        <w:left w:val="none" w:sz="0" w:space="0" w:color="auto"/>
        <w:bottom w:val="none" w:sz="0" w:space="0" w:color="auto"/>
        <w:right w:val="none" w:sz="0" w:space="0" w:color="auto"/>
      </w:divBdr>
    </w:div>
    <w:div w:id="412357068">
      <w:bodyDiv w:val="1"/>
      <w:marLeft w:val="0"/>
      <w:marRight w:val="0"/>
      <w:marTop w:val="0"/>
      <w:marBottom w:val="0"/>
      <w:divBdr>
        <w:top w:val="none" w:sz="0" w:space="0" w:color="auto"/>
        <w:left w:val="none" w:sz="0" w:space="0" w:color="auto"/>
        <w:bottom w:val="none" w:sz="0" w:space="0" w:color="auto"/>
        <w:right w:val="none" w:sz="0" w:space="0" w:color="auto"/>
      </w:divBdr>
    </w:div>
    <w:div w:id="603727476">
      <w:bodyDiv w:val="1"/>
      <w:marLeft w:val="0"/>
      <w:marRight w:val="0"/>
      <w:marTop w:val="0"/>
      <w:marBottom w:val="0"/>
      <w:divBdr>
        <w:top w:val="none" w:sz="0" w:space="0" w:color="auto"/>
        <w:left w:val="none" w:sz="0" w:space="0" w:color="auto"/>
        <w:bottom w:val="none" w:sz="0" w:space="0" w:color="auto"/>
        <w:right w:val="none" w:sz="0" w:space="0" w:color="auto"/>
      </w:divBdr>
    </w:div>
    <w:div w:id="756288072">
      <w:bodyDiv w:val="1"/>
      <w:marLeft w:val="0"/>
      <w:marRight w:val="0"/>
      <w:marTop w:val="0"/>
      <w:marBottom w:val="0"/>
      <w:divBdr>
        <w:top w:val="none" w:sz="0" w:space="0" w:color="auto"/>
        <w:left w:val="none" w:sz="0" w:space="0" w:color="auto"/>
        <w:bottom w:val="none" w:sz="0" w:space="0" w:color="auto"/>
        <w:right w:val="none" w:sz="0" w:space="0" w:color="auto"/>
      </w:divBdr>
    </w:div>
    <w:div w:id="784619367">
      <w:bodyDiv w:val="1"/>
      <w:marLeft w:val="0"/>
      <w:marRight w:val="0"/>
      <w:marTop w:val="0"/>
      <w:marBottom w:val="0"/>
      <w:divBdr>
        <w:top w:val="none" w:sz="0" w:space="0" w:color="auto"/>
        <w:left w:val="none" w:sz="0" w:space="0" w:color="auto"/>
        <w:bottom w:val="none" w:sz="0" w:space="0" w:color="auto"/>
        <w:right w:val="none" w:sz="0" w:space="0" w:color="auto"/>
      </w:divBdr>
    </w:div>
    <w:div w:id="1265966227">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472214824">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1712653281">
      <w:bodyDiv w:val="1"/>
      <w:marLeft w:val="0"/>
      <w:marRight w:val="0"/>
      <w:marTop w:val="0"/>
      <w:marBottom w:val="0"/>
      <w:divBdr>
        <w:top w:val="none" w:sz="0" w:space="0" w:color="auto"/>
        <w:left w:val="none" w:sz="0" w:space="0" w:color="auto"/>
        <w:bottom w:val="none" w:sz="0" w:space="0" w:color="auto"/>
        <w:right w:val="none" w:sz="0" w:space="0" w:color="auto"/>
      </w:divBdr>
    </w:div>
    <w:div w:id="1715695730">
      <w:bodyDiv w:val="1"/>
      <w:marLeft w:val="0"/>
      <w:marRight w:val="0"/>
      <w:marTop w:val="0"/>
      <w:marBottom w:val="0"/>
      <w:divBdr>
        <w:top w:val="none" w:sz="0" w:space="0" w:color="auto"/>
        <w:left w:val="none" w:sz="0" w:space="0" w:color="auto"/>
        <w:bottom w:val="none" w:sz="0" w:space="0" w:color="auto"/>
        <w:right w:val="none" w:sz="0" w:space="0" w:color="auto"/>
      </w:divBdr>
    </w:div>
    <w:div w:id="1719627515">
      <w:bodyDiv w:val="1"/>
      <w:marLeft w:val="0"/>
      <w:marRight w:val="0"/>
      <w:marTop w:val="0"/>
      <w:marBottom w:val="0"/>
      <w:divBdr>
        <w:top w:val="none" w:sz="0" w:space="0" w:color="auto"/>
        <w:left w:val="none" w:sz="0" w:space="0" w:color="auto"/>
        <w:bottom w:val="none" w:sz="0" w:space="0" w:color="auto"/>
        <w:right w:val="none" w:sz="0" w:space="0" w:color="auto"/>
      </w:divBdr>
    </w:div>
    <w:div w:id="1809516882">
      <w:bodyDiv w:val="1"/>
      <w:marLeft w:val="0"/>
      <w:marRight w:val="0"/>
      <w:marTop w:val="0"/>
      <w:marBottom w:val="0"/>
      <w:divBdr>
        <w:top w:val="none" w:sz="0" w:space="0" w:color="auto"/>
        <w:left w:val="none" w:sz="0" w:space="0" w:color="auto"/>
        <w:bottom w:val="none" w:sz="0" w:space="0" w:color="auto"/>
        <w:right w:val="none" w:sz="0" w:space="0" w:color="auto"/>
      </w:divBdr>
    </w:div>
    <w:div w:id="1879125316">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tcwiki.azurewebsites.net/index.php?title=PHI" TargetMode="External"/><Relationship Id="rId26" Type="http://schemas.openxmlformats.org/officeDocument/2006/relationships/hyperlink" Target="https://wiki.idesg.org/wiki/index.php/Guardian" TargetMode="External"/><Relationship Id="rId3" Type="http://schemas.openxmlformats.org/officeDocument/2006/relationships/styles" Target="styles.xml"/><Relationship Id="rId21" Type="http://schemas.openxmlformats.org/officeDocument/2006/relationships/hyperlink" Target="https://www.healthit.gov/sites/default/files/page/2019-04/FINALTEFCAQTF41719508version.pdf" TargetMode="External"/><Relationship Id="rId7" Type="http://schemas.openxmlformats.org/officeDocument/2006/relationships/endnotes" Target="endnotes.xml"/><Relationship Id="rId12" Type="http://schemas.openxmlformats.org/officeDocument/2006/relationships/hyperlink" Target="https://github.com/KantaraInitiative/DistributedAssurance/issues" TargetMode="External"/><Relationship Id="rId17" Type="http://schemas.openxmlformats.org/officeDocument/2006/relationships/footer" Target="footer3.xml"/><Relationship Id="rId25" Type="http://schemas.openxmlformats.org/officeDocument/2006/relationships/hyperlink" Target="https://wiki.idesg.org/wiki/index.php/Trustworthy_Healthcare_Ecosyste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iki.idesg.org/wiki/index.php/User_Choice_Pattern" TargetMode="External"/><Relationship Id="rId29" Type="http://schemas.openxmlformats.org/officeDocument/2006/relationships/hyperlink" Target="https://wiki.idesg.org/wiki/index.php/User_Agent_in_the_Clou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ntarainitiative.org/confluence/display/WT/Draft+Recommendations" TargetMode="External"/><Relationship Id="rId24" Type="http://schemas.openxmlformats.org/officeDocument/2006/relationships/hyperlink" Target="https://www.ncbi.nlm.nih.gov/pmc/articles/PMC637141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healthcareitnews.com/news/8-out-10-mobile-health-apps-open-hipaa-violations-hacking-data-theft" TargetMode="External"/><Relationship Id="rId28" Type="http://schemas.openxmlformats.org/officeDocument/2006/relationships/hyperlink" Target="https://wiki.idesg.org/wiki/index.php/Remote_Attestation_Use_Case" TargetMode="External"/><Relationship Id="rId10" Type="http://schemas.openxmlformats.org/officeDocument/2006/relationships/hyperlink" Target="https://kantarainitiative.org/kantara-initiative-first-to-market-with-nist-sp-800-63-3-third-party-assessment-approval-and-trust-mark/" TargetMode="External"/><Relationship Id="rId19" Type="http://schemas.openxmlformats.org/officeDocument/2006/relationships/hyperlink" Target="https://wiki.idesg.org/wiki/index.php/Trustworthy_Healthcare_Ecosyste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it.gov/topic/2020-2025-federal-health-it-strategic-plan" TargetMode="External"/><Relationship Id="rId14" Type="http://schemas.openxmlformats.org/officeDocument/2006/relationships/footer" Target="footer1.xml"/><Relationship Id="rId22" Type="http://schemas.openxmlformats.org/officeDocument/2006/relationships/hyperlink" Target="https://tcwiki.azurewebsites.net/index.php?title=PHI" TargetMode="External"/><Relationship Id="rId27" Type="http://schemas.openxmlformats.org/officeDocument/2006/relationships/hyperlink" Target="https://wiki.idesg.org/wiki/index.php/Trustworthy_Healthcare_Ecosystem" TargetMode="External"/><Relationship Id="rId30" Type="http://schemas.openxmlformats.org/officeDocument/2006/relationships/hyperlink" Target="https://kantarainitiative.org/confluence/display/healthidassurance/Identity+Assurance+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6AD93-4FA9-49DF-B5FB-9A7DE848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3824</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Kantara Distributed Assurance Specification</vt:lpstr>
    </vt:vector>
  </TitlesOfParts>
  <Manager>Jim Kragh</Manager>
  <Company>Kantara</Company>
  <LinksUpToDate>false</LinksUpToDate>
  <CharactersWithSpaces>25574</CharactersWithSpaces>
  <SharedDoc>false</SharedDoc>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Distributed Assurance Specification</dc:title>
  <dc:subject/>
  <dc:creator>Kantara Fire Work Group</dc:creator>
  <cp:keywords/>
  <dc:description/>
  <cp:lastModifiedBy>Tom Jones</cp:lastModifiedBy>
  <cp:revision>3</cp:revision>
  <cp:lastPrinted>2019-12-28T04:00:00Z</cp:lastPrinted>
  <dcterms:created xsi:type="dcterms:W3CDTF">2020-02-04T17:28:00Z</dcterms:created>
  <dcterms:modified xsi:type="dcterms:W3CDTF">2020-02-04T17:33:00Z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-148085673</vt:i4>
  </property>
  <property fmtid="{D5CDD505-2E9C-101B-9397-08002B2CF9AE}" pid="3" name="_NewReviewCycle">
    <vt:lpwstr/>
  </property>
  <property fmtid="{D5CDD505-2E9C-101B-9397-08002B2CF9AE}" pid="4" name="_EmailSubject">
    <vt:lpwstr>IAF revisions - plan B--NEEDING COPIES OF DRAFT DOCS</vt:lpwstr>
  </property>
  <property fmtid="{D5CDD505-2E9C-101B-9397-08002B2CF9AE}" pid="5" name="_AuthorEmail">
    <vt:lpwstr>RGW@Zygma.biz</vt:lpwstr>
  </property>
  <property fmtid="{D5CDD505-2E9C-101B-9397-08002B2CF9AE}" pid="6" name="_AuthorEmailDisplayName">
    <vt:lpwstr>Richard G. WILSHER (Zygma)</vt:lpwstr>
  </property>
  <property fmtid="{D5CDD505-2E9C-101B-9397-08002B2CF9AE}" pid="7" name="_ReviewingToolsShownOnce">
    <vt:lpwstr/>
  </property>
</Properties>
</file>