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lang w:val="en-GB" w:eastAsia="en-GB"/>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77777777"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E44497">
        <w:t>1.0.0</w:t>
      </w:r>
      <w:bookmarkEnd w:id="4"/>
    </w:p>
    <w:p w14:paraId="13836E51" w14:textId="0F79ED6C"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2F5C47">
        <w:t>2017-03-16</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 xml:space="preserve">Mark </w:t>
      </w:r>
      <w:proofErr w:type="spellStart"/>
      <w:r w:rsidR="0059377B">
        <w:t>Lizar</w:t>
      </w:r>
      <w:proofErr w:type="spellEnd"/>
      <w:r w:rsidR="0059377B">
        <w:t>,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w:t>
      </w:r>
      <w:proofErr w:type="spellStart"/>
      <w:r w:rsidR="00D507DC" w:rsidRPr="00D507DC">
        <w:rPr>
          <w:rFonts w:cs="Arial"/>
        </w:rPr>
        <w:t>Harri</w:t>
      </w:r>
      <w:proofErr w:type="spellEnd"/>
      <w:r w:rsidR="00D507DC" w:rsidRPr="00D507DC">
        <w:rPr>
          <w:rFonts w:cs="Arial"/>
        </w:rPr>
        <w:t xml:space="preserve"> </w:t>
      </w:r>
      <w:proofErr w:type="spellStart"/>
      <w:r w:rsidR="00D507DC" w:rsidRPr="00D507DC">
        <w:rPr>
          <w:rFonts w:cs="Arial"/>
        </w:rPr>
        <w:t>Honko</w:t>
      </w:r>
      <w:proofErr w:type="spellEnd"/>
      <w:r w:rsidR="00D507DC" w:rsidRPr="00D507DC">
        <w:rPr>
          <w:rFonts w:cs="Arial"/>
        </w:rPr>
        <w:t xml:space="preserve">, Oliver </w:t>
      </w:r>
      <w:proofErr w:type="spellStart"/>
      <w:r w:rsidR="00D507DC" w:rsidRPr="00D507DC">
        <w:rPr>
          <w:rFonts w:cs="Arial"/>
        </w:rPr>
        <w:t>Maerz</w:t>
      </w:r>
      <w:proofErr w:type="spellEnd"/>
      <w:r w:rsidR="00D507DC" w:rsidRPr="00D507DC">
        <w:rPr>
          <w:rFonts w:cs="Arial"/>
        </w:rPr>
        <w:t xml:space="preserve">, </w:t>
      </w:r>
      <w:r w:rsidR="00991F51">
        <w:rPr>
          <w:rFonts w:cs="Arial"/>
        </w:rPr>
        <w:br/>
      </w:r>
      <w:r w:rsidR="00D507DC" w:rsidRPr="00D507DC">
        <w:rPr>
          <w:rFonts w:cs="Arial"/>
        </w:rPr>
        <w:t xml:space="preserve">Eve Maler, John </w:t>
      </w:r>
      <w:proofErr w:type="spellStart"/>
      <w:r w:rsidR="00D507DC" w:rsidRPr="00D507DC">
        <w:rPr>
          <w:rFonts w:cs="Arial"/>
        </w:rPr>
        <w:t>Wunderlich</w:t>
      </w:r>
      <w:proofErr w:type="spellEnd"/>
      <w:r w:rsidR="003F2172">
        <w:rPr>
          <w:rFonts w:cs="Arial"/>
        </w:rPr>
        <w:t xml:space="preserve">, Richard Beaumont, </w:t>
      </w:r>
      <w:r w:rsidR="00991F51">
        <w:rPr>
          <w:rFonts w:cs="Arial"/>
        </w:rPr>
        <w:br/>
      </w:r>
      <w:proofErr w:type="spellStart"/>
      <w:r w:rsidR="003F2172" w:rsidRPr="003F2172">
        <w:rPr>
          <w:rFonts w:cs="Arial"/>
        </w:rPr>
        <w:t>Samuli</w:t>
      </w:r>
      <w:proofErr w:type="spellEnd"/>
      <w:r w:rsidR="003F2172" w:rsidRPr="003F2172">
        <w:rPr>
          <w:rFonts w:cs="Arial"/>
        </w:rPr>
        <w:t xml:space="preserve"> </w:t>
      </w:r>
      <w:proofErr w:type="spellStart"/>
      <w:r w:rsidR="003F2172" w:rsidRPr="003F2172">
        <w:rPr>
          <w:rFonts w:cs="Arial"/>
        </w:rPr>
        <w:t>Tuoriniemi</w:t>
      </w:r>
      <w:proofErr w:type="spellEnd"/>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proofErr w:type="spellStart"/>
      <w:r w:rsidR="00F24CBB" w:rsidRPr="00F24CBB">
        <w:rPr>
          <w:rFonts w:cs="Arial"/>
        </w:rPr>
        <w:t>Kantara</w:t>
      </w:r>
      <w:proofErr w:type="spellEnd"/>
      <w:r w:rsidR="00F24CBB" w:rsidRPr="00F24CBB">
        <w:rPr>
          <w:rFonts w:cs="Arial"/>
        </w:rPr>
        <w:t xml:space="preserve">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78312771"/>
      <w:r w:rsidRPr="002F5CFC">
        <w:rPr>
          <w:rStyle w:val="Strong"/>
        </w:rPr>
        <w:t>Abstract</w:t>
      </w:r>
      <w:bookmarkEnd w:id="9"/>
      <w:bookmarkEnd w:id="10"/>
      <w:bookmarkEnd w:id="11"/>
      <w:bookmarkEnd w:id="12"/>
      <w:bookmarkEnd w:id="13"/>
      <w:r w:rsidR="00913FCA">
        <w:rPr>
          <w:rStyle w:val="Strong"/>
        </w:rPr>
        <w:t>:</w:t>
      </w:r>
      <w:bookmarkEnd w:id="14"/>
    </w:p>
    <w:p w14:paraId="798432F0" w14:textId="77777777" w:rsidR="00F24CBB" w:rsidRPr="00F24CBB" w:rsidRDefault="00F24CBB" w:rsidP="00CD493E">
      <w:bookmarkStart w:id="15" w:name="_Toc116532193"/>
      <w:bookmarkStart w:id="16" w:name="_Toc116535123"/>
      <w:bookmarkStart w:id="17" w:name="_Toc77585819"/>
      <w:bookmarkStart w:id="18" w:name="_Toc77585996"/>
      <w:bookmarkStart w:id="19" w:name="_Toc77751116"/>
      <w:r w:rsidRPr="00F24CBB">
        <w:t>A Consent Receipt is a record of consent used by a PII Controller as their authority to collect, use and disclose a</w:t>
      </w:r>
      <w:r w:rsidR="00614062">
        <w:t xml:space="preserve"> PII Principal’s</w:t>
      </w:r>
      <w:r w:rsidRPr="00F24CBB">
        <w:t xml:space="preserve"> </w:t>
      </w:r>
      <w:r>
        <w:t>personally identifiable information (</w:t>
      </w:r>
      <w:r w:rsidRPr="00F24CBB">
        <w:t>PII</w:t>
      </w:r>
      <w:r>
        <w:t>)</w:t>
      </w:r>
      <w:r w:rsidRPr="00F24CBB">
        <w:t xml:space="preserve">. The Consent Receipt </w:t>
      </w:r>
      <w:r w:rsidRPr="00EA7163">
        <w:rPr>
          <w:noProof/>
        </w:rPr>
        <w:t>will be provided</w:t>
      </w:r>
      <w:r w:rsidRPr="00F24CBB">
        <w:t xml:space="preserve"> to the PII </w:t>
      </w:r>
      <w:r w:rsidR="000F725F">
        <w:t>Principal</w:t>
      </w:r>
      <w:r w:rsidR="000F725F" w:rsidRPr="00F24CBB">
        <w:t xml:space="preserve"> </w:t>
      </w:r>
      <w:r w:rsidRPr="00F24CBB">
        <w:t xml:space="preserve">that gave the consent. This specification defines the requirements for a receipt given to the PII Principal. </w:t>
      </w:r>
      <w:r w:rsidR="000F725F">
        <w:t xml:space="preserve">The receipt </w:t>
      </w:r>
      <w:r w:rsidRPr="00EA7163">
        <w:rPr>
          <w:noProof/>
        </w:rPr>
        <w:t>include</w:t>
      </w:r>
      <w:r w:rsidR="000F725F">
        <w:rPr>
          <w:noProof/>
        </w:rPr>
        <w:t>s</w:t>
      </w:r>
      <w:r w:rsidRPr="00F24CBB">
        <w:t xml:space="preserve"> links to existing privacy notices &amp; policies as well as a description of what information </w:t>
      </w:r>
      <w:r w:rsidRPr="00EA7163">
        <w:rPr>
          <w:noProof/>
        </w:rPr>
        <w:t>will be collected</w:t>
      </w:r>
      <w:r w:rsidRPr="00F24CBB">
        <w:t>, the purposes for that collection and relevant information about how that informa</w:t>
      </w:r>
      <w:r w:rsidR="00614062">
        <w:t xml:space="preserve">tion </w:t>
      </w:r>
      <w:r w:rsidR="00614062" w:rsidRPr="00EA7163">
        <w:rPr>
          <w:noProof/>
        </w:rPr>
        <w:t>will be</w:t>
      </w:r>
      <w:r w:rsidR="00614062">
        <w:t xml:space="preserve"> used or disclosed.</w:t>
      </w:r>
      <w:r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proofErr w:type="spellStart"/>
      <w:r w:rsidRPr="0077597F">
        <w:rPr>
          <w:rFonts w:cs="Arial"/>
          <w:szCs w:val="22"/>
        </w:rPr>
        <w:t>Kantara</w:t>
      </w:r>
      <w:proofErr w:type="spellEnd"/>
      <w:r w:rsidRPr="0077597F">
        <w:rPr>
          <w:rFonts w:cs="Arial"/>
          <w:szCs w:val="22"/>
        </w:rPr>
        <w:t xml:space="preserve">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proofErr w:type="spellStart"/>
        <w:r w:rsidRPr="0077597F">
          <w:rPr>
            <w:rStyle w:val="Hyperlink"/>
            <w:rFonts w:cs="Arial"/>
            <w:szCs w:val="22"/>
          </w:rPr>
          <w:t>Kantara</w:t>
        </w:r>
        <w:proofErr w:type="spellEnd"/>
        <w:r w:rsidRPr="0077597F">
          <w:rPr>
            <w:rStyle w:val="Hyperlink"/>
            <w:rFonts w:cs="Arial"/>
            <w:szCs w:val="22"/>
          </w:rPr>
          <w:t xml:space="preserve">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0" w:name="_Toc243379787"/>
      <w:bookmarkStart w:id="21" w:name="_Toc244482062"/>
      <w:bookmarkStart w:id="22" w:name="_Toc260291045"/>
      <w:r w:rsidR="005C0FE6">
        <w:lastRenderedPageBreak/>
        <w:t xml:space="preserve">Table of </w:t>
      </w:r>
      <w:r w:rsidR="009A26A9" w:rsidRPr="00600CFD">
        <w:t>Contents</w:t>
      </w:r>
      <w:bookmarkEnd w:id="20"/>
      <w:bookmarkEnd w:id="21"/>
      <w:bookmarkEnd w:id="22"/>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B46EAA">
      <w:pPr>
        <w:pStyle w:val="TOC1"/>
        <w:rPr>
          <w:rFonts w:asciiTheme="minorHAnsi" w:eastAsiaTheme="minorEastAsia" w:hAnsiTheme="minorHAnsi" w:cstheme="minorBidi"/>
          <w:kern w:val="0"/>
          <w:sz w:val="24"/>
          <w:szCs w:val="24"/>
        </w:rPr>
      </w:pPr>
      <w:hyperlink w:anchor="_Toc478312772" w:history="1">
        <w:r w:rsidR="00991F51" w:rsidRPr="00D2330E">
          <w:rPr>
            <w:rStyle w:val="Hyperlink"/>
            <w:bCs/>
          </w:rPr>
          <w:t>1</w:t>
        </w:r>
        <w:r w:rsidR="00991F51">
          <w:rPr>
            <w:rFonts w:asciiTheme="minorHAnsi" w:eastAsiaTheme="minorEastAsia" w:hAnsiTheme="minorHAnsi" w:cstheme="minorBidi"/>
            <w:kern w:val="0"/>
            <w:sz w:val="24"/>
            <w:szCs w:val="24"/>
          </w:rPr>
          <w:tab/>
        </w:r>
        <w:r w:rsidR="00991F51" w:rsidRPr="00D2330E">
          <w:rPr>
            <w:rStyle w:val="Hyperlink"/>
          </w:rPr>
          <w:t>Introduction</w:t>
        </w:r>
        <w:r w:rsidR="00991F51">
          <w:rPr>
            <w:webHidden/>
          </w:rPr>
          <w:tab/>
        </w:r>
        <w:r w:rsidR="00991F51">
          <w:rPr>
            <w:webHidden/>
          </w:rPr>
          <w:fldChar w:fldCharType="begin"/>
        </w:r>
        <w:r w:rsidR="00991F51">
          <w:rPr>
            <w:webHidden/>
          </w:rPr>
          <w:instrText xml:space="preserve"> PAGEREF _Toc478312772 \h </w:instrText>
        </w:r>
        <w:r w:rsidR="00991F51">
          <w:rPr>
            <w:webHidden/>
          </w:rPr>
        </w:r>
        <w:r w:rsidR="00991F51">
          <w:rPr>
            <w:webHidden/>
          </w:rPr>
          <w:fldChar w:fldCharType="separate"/>
        </w:r>
        <w:r w:rsidR="00991F51">
          <w:rPr>
            <w:webHidden/>
          </w:rPr>
          <w:t>3</w:t>
        </w:r>
        <w:r w:rsidR="00991F51">
          <w:rPr>
            <w:webHidden/>
          </w:rPr>
          <w:fldChar w:fldCharType="end"/>
        </w:r>
      </w:hyperlink>
    </w:p>
    <w:p w14:paraId="03107A54" w14:textId="77777777" w:rsidR="00991F51" w:rsidRDefault="00B46EAA">
      <w:pPr>
        <w:pStyle w:val="TOC1"/>
        <w:rPr>
          <w:rFonts w:asciiTheme="minorHAnsi" w:eastAsiaTheme="minorEastAsia" w:hAnsiTheme="minorHAnsi" w:cstheme="minorBidi"/>
          <w:kern w:val="0"/>
          <w:sz w:val="24"/>
          <w:szCs w:val="24"/>
        </w:rPr>
      </w:pPr>
      <w:hyperlink w:anchor="_Toc478312773" w:history="1">
        <w:r w:rsidR="00991F51" w:rsidRPr="00D2330E">
          <w:rPr>
            <w:rStyle w:val="Hyperlink"/>
            <w:bCs/>
          </w:rPr>
          <w:t>2</w:t>
        </w:r>
        <w:r w:rsidR="00991F51">
          <w:rPr>
            <w:rFonts w:asciiTheme="minorHAnsi" w:eastAsiaTheme="minorEastAsia" w:hAnsiTheme="minorHAnsi" w:cstheme="minorBidi"/>
            <w:kern w:val="0"/>
            <w:sz w:val="24"/>
            <w:szCs w:val="24"/>
          </w:rPr>
          <w:tab/>
        </w:r>
        <w:r w:rsidR="00991F51" w:rsidRPr="00D2330E">
          <w:rPr>
            <w:rStyle w:val="Hyperlink"/>
          </w:rPr>
          <w:t>Notations and Abbreviations</w:t>
        </w:r>
        <w:r w:rsidR="00991F51">
          <w:rPr>
            <w:webHidden/>
          </w:rPr>
          <w:tab/>
        </w:r>
        <w:r w:rsidR="00991F51">
          <w:rPr>
            <w:webHidden/>
          </w:rPr>
          <w:fldChar w:fldCharType="begin"/>
        </w:r>
        <w:r w:rsidR="00991F51">
          <w:rPr>
            <w:webHidden/>
          </w:rPr>
          <w:instrText xml:space="preserve"> PAGEREF _Toc478312773 \h </w:instrText>
        </w:r>
        <w:r w:rsidR="00991F51">
          <w:rPr>
            <w:webHidden/>
          </w:rPr>
        </w:r>
        <w:r w:rsidR="00991F51">
          <w:rPr>
            <w:webHidden/>
          </w:rPr>
          <w:fldChar w:fldCharType="separate"/>
        </w:r>
        <w:r w:rsidR="00991F51">
          <w:rPr>
            <w:webHidden/>
          </w:rPr>
          <w:t>4</w:t>
        </w:r>
        <w:r w:rsidR="00991F51">
          <w:rPr>
            <w:webHidden/>
          </w:rPr>
          <w:fldChar w:fldCharType="end"/>
        </w:r>
      </w:hyperlink>
    </w:p>
    <w:p w14:paraId="2A3191E1" w14:textId="77777777" w:rsidR="00991F51" w:rsidRDefault="00B46EAA">
      <w:pPr>
        <w:pStyle w:val="TOC1"/>
        <w:rPr>
          <w:rFonts w:asciiTheme="minorHAnsi" w:eastAsiaTheme="minorEastAsia" w:hAnsiTheme="minorHAnsi" w:cstheme="minorBidi"/>
          <w:kern w:val="0"/>
          <w:sz w:val="24"/>
          <w:szCs w:val="24"/>
        </w:rPr>
      </w:pPr>
      <w:hyperlink w:anchor="_Toc478312774" w:history="1">
        <w:r w:rsidR="00991F51" w:rsidRPr="00D2330E">
          <w:rPr>
            <w:rStyle w:val="Hyperlink"/>
            <w:bCs/>
          </w:rPr>
          <w:t>3</w:t>
        </w:r>
        <w:r w:rsidR="00991F51">
          <w:rPr>
            <w:rFonts w:asciiTheme="minorHAnsi" w:eastAsiaTheme="minorEastAsia" w:hAnsiTheme="minorHAnsi" w:cstheme="minorBidi"/>
            <w:kern w:val="0"/>
            <w:sz w:val="24"/>
            <w:szCs w:val="24"/>
          </w:rPr>
          <w:tab/>
        </w:r>
        <w:r w:rsidR="00991F51" w:rsidRPr="00D2330E">
          <w:rPr>
            <w:rStyle w:val="Hyperlink"/>
          </w:rPr>
          <w:t>Terms and definitions</w:t>
        </w:r>
        <w:r w:rsidR="00991F51">
          <w:rPr>
            <w:webHidden/>
          </w:rPr>
          <w:tab/>
        </w:r>
        <w:r w:rsidR="00991F51">
          <w:rPr>
            <w:webHidden/>
          </w:rPr>
          <w:fldChar w:fldCharType="begin"/>
        </w:r>
        <w:r w:rsidR="00991F51">
          <w:rPr>
            <w:webHidden/>
          </w:rPr>
          <w:instrText xml:space="preserve"> PAGEREF _Toc478312774 \h </w:instrText>
        </w:r>
        <w:r w:rsidR="00991F51">
          <w:rPr>
            <w:webHidden/>
          </w:rPr>
        </w:r>
        <w:r w:rsidR="00991F51">
          <w:rPr>
            <w:webHidden/>
          </w:rPr>
          <w:fldChar w:fldCharType="separate"/>
        </w:r>
        <w:r w:rsidR="00991F51">
          <w:rPr>
            <w:webHidden/>
          </w:rPr>
          <w:t>5</w:t>
        </w:r>
        <w:r w:rsidR="00991F51">
          <w:rPr>
            <w:webHidden/>
          </w:rPr>
          <w:fldChar w:fldCharType="end"/>
        </w:r>
      </w:hyperlink>
    </w:p>
    <w:p w14:paraId="4AB62268" w14:textId="77777777" w:rsidR="00991F51" w:rsidRDefault="00B46EAA">
      <w:pPr>
        <w:pStyle w:val="TOC1"/>
        <w:rPr>
          <w:rFonts w:asciiTheme="minorHAnsi" w:eastAsiaTheme="minorEastAsia" w:hAnsiTheme="minorHAnsi" w:cstheme="minorBidi"/>
          <w:kern w:val="0"/>
          <w:sz w:val="24"/>
          <w:szCs w:val="24"/>
        </w:rPr>
      </w:pPr>
      <w:hyperlink w:anchor="_Toc478312775" w:history="1">
        <w:r w:rsidR="00991F51" w:rsidRPr="00D2330E">
          <w:rPr>
            <w:rStyle w:val="Hyperlink"/>
            <w:bCs/>
          </w:rPr>
          <w:t>4</w:t>
        </w:r>
        <w:r w:rsidR="00991F51">
          <w:rPr>
            <w:rFonts w:asciiTheme="minorHAnsi" w:eastAsiaTheme="minorEastAsia" w:hAnsiTheme="minorHAnsi" w:cstheme="minorBidi"/>
            <w:kern w:val="0"/>
            <w:sz w:val="24"/>
            <w:szCs w:val="24"/>
          </w:rPr>
          <w:tab/>
        </w:r>
        <w:r w:rsidR="00991F51" w:rsidRPr="00D2330E">
          <w:rPr>
            <w:rStyle w:val="Hyperlink"/>
          </w:rPr>
          <w:t>Consent Receipt</w:t>
        </w:r>
        <w:r w:rsidR="00991F51">
          <w:rPr>
            <w:webHidden/>
          </w:rPr>
          <w:tab/>
        </w:r>
        <w:r w:rsidR="00991F51">
          <w:rPr>
            <w:webHidden/>
          </w:rPr>
          <w:fldChar w:fldCharType="begin"/>
        </w:r>
        <w:r w:rsidR="00991F51">
          <w:rPr>
            <w:webHidden/>
          </w:rPr>
          <w:instrText xml:space="preserve"> PAGEREF _Toc478312775 \h </w:instrText>
        </w:r>
        <w:r w:rsidR="00991F51">
          <w:rPr>
            <w:webHidden/>
          </w:rPr>
        </w:r>
        <w:r w:rsidR="00991F51">
          <w:rPr>
            <w:webHidden/>
          </w:rPr>
          <w:fldChar w:fldCharType="separate"/>
        </w:r>
        <w:r w:rsidR="00991F51">
          <w:rPr>
            <w:webHidden/>
          </w:rPr>
          <w:t>9</w:t>
        </w:r>
        <w:r w:rsidR="00991F51">
          <w:rPr>
            <w:webHidden/>
          </w:rPr>
          <w:fldChar w:fldCharType="end"/>
        </w:r>
      </w:hyperlink>
    </w:p>
    <w:p w14:paraId="4852CD11" w14:textId="77777777" w:rsidR="00991F51" w:rsidRDefault="00B46EAA">
      <w:pPr>
        <w:pStyle w:val="TOC2"/>
        <w:rPr>
          <w:rFonts w:asciiTheme="minorHAnsi" w:eastAsiaTheme="minorEastAsia" w:hAnsiTheme="minorHAnsi" w:cstheme="minorBidi"/>
          <w:noProof/>
          <w:kern w:val="0"/>
          <w:sz w:val="24"/>
        </w:rPr>
      </w:pPr>
      <w:hyperlink w:anchor="_Toc478312776" w:history="1">
        <w:r w:rsidR="00991F51" w:rsidRPr="00D2330E">
          <w:rPr>
            <w:rStyle w:val="Hyperlink"/>
            <w:noProof/>
          </w:rPr>
          <w:t>4.1</w:t>
        </w:r>
        <w:r w:rsidR="00991F51">
          <w:rPr>
            <w:rFonts w:asciiTheme="minorHAnsi" w:eastAsiaTheme="minorEastAsia" w:hAnsiTheme="minorHAnsi" w:cstheme="minorBidi"/>
            <w:noProof/>
            <w:kern w:val="0"/>
            <w:sz w:val="24"/>
          </w:rPr>
          <w:tab/>
        </w:r>
        <w:r w:rsidR="00991F51" w:rsidRPr="00D2330E">
          <w:rPr>
            <w:rStyle w:val="Hyperlink"/>
            <w:noProof/>
          </w:rPr>
          <w:t>Contents of receipt</w:t>
        </w:r>
        <w:r w:rsidR="00991F51">
          <w:rPr>
            <w:noProof/>
            <w:webHidden/>
          </w:rPr>
          <w:tab/>
        </w:r>
        <w:r w:rsidR="00991F51">
          <w:rPr>
            <w:noProof/>
            <w:webHidden/>
          </w:rPr>
          <w:fldChar w:fldCharType="begin"/>
        </w:r>
        <w:r w:rsidR="00991F51">
          <w:rPr>
            <w:noProof/>
            <w:webHidden/>
          </w:rPr>
          <w:instrText xml:space="preserve"> PAGEREF _Toc478312776 \h </w:instrText>
        </w:r>
        <w:r w:rsidR="00991F51">
          <w:rPr>
            <w:noProof/>
            <w:webHidden/>
          </w:rPr>
        </w:r>
        <w:r w:rsidR="00991F51">
          <w:rPr>
            <w:noProof/>
            <w:webHidden/>
          </w:rPr>
          <w:fldChar w:fldCharType="separate"/>
        </w:r>
        <w:r w:rsidR="00991F51">
          <w:rPr>
            <w:noProof/>
            <w:webHidden/>
          </w:rPr>
          <w:t>9</w:t>
        </w:r>
        <w:r w:rsidR="00991F51">
          <w:rPr>
            <w:noProof/>
            <w:webHidden/>
          </w:rPr>
          <w:fldChar w:fldCharType="end"/>
        </w:r>
      </w:hyperlink>
    </w:p>
    <w:p w14:paraId="2B91E47C" w14:textId="77777777" w:rsidR="00991F51" w:rsidRDefault="00B46EAA">
      <w:pPr>
        <w:pStyle w:val="TOC2"/>
        <w:rPr>
          <w:rFonts w:asciiTheme="minorHAnsi" w:eastAsiaTheme="minorEastAsia" w:hAnsiTheme="minorHAnsi" w:cstheme="minorBidi"/>
          <w:noProof/>
          <w:kern w:val="0"/>
          <w:sz w:val="24"/>
        </w:rPr>
      </w:pPr>
      <w:hyperlink w:anchor="_Toc478312777" w:history="1">
        <w:r w:rsidR="00991F51" w:rsidRPr="00D2330E">
          <w:rPr>
            <w:rStyle w:val="Hyperlink"/>
            <w:noProof/>
          </w:rPr>
          <w:t>4.2</w:t>
        </w:r>
        <w:r w:rsidR="00991F51">
          <w:rPr>
            <w:rFonts w:asciiTheme="minorHAnsi" w:eastAsiaTheme="minorEastAsia" w:hAnsiTheme="minorHAnsi" w:cstheme="minorBidi"/>
            <w:noProof/>
            <w:kern w:val="0"/>
            <w:sz w:val="24"/>
          </w:rPr>
          <w:tab/>
        </w:r>
        <w:r w:rsidR="00991F51" w:rsidRPr="00D2330E">
          <w:rPr>
            <w:rStyle w:val="Hyperlink"/>
            <w:noProof/>
          </w:rPr>
          <w:t>Presentation and Delivery</w:t>
        </w:r>
        <w:r w:rsidR="00991F51">
          <w:rPr>
            <w:noProof/>
            <w:webHidden/>
          </w:rPr>
          <w:tab/>
        </w:r>
        <w:r w:rsidR="00991F51">
          <w:rPr>
            <w:noProof/>
            <w:webHidden/>
          </w:rPr>
          <w:fldChar w:fldCharType="begin"/>
        </w:r>
        <w:r w:rsidR="00991F51">
          <w:rPr>
            <w:noProof/>
            <w:webHidden/>
          </w:rPr>
          <w:instrText xml:space="preserve"> PAGEREF _Toc478312777 \h </w:instrText>
        </w:r>
        <w:r w:rsidR="00991F51">
          <w:rPr>
            <w:noProof/>
            <w:webHidden/>
          </w:rPr>
        </w:r>
        <w:r w:rsidR="00991F51">
          <w:rPr>
            <w:noProof/>
            <w:webHidden/>
          </w:rPr>
          <w:fldChar w:fldCharType="separate"/>
        </w:r>
        <w:r w:rsidR="00991F51">
          <w:rPr>
            <w:noProof/>
            <w:webHidden/>
          </w:rPr>
          <w:t>11</w:t>
        </w:r>
        <w:r w:rsidR="00991F51">
          <w:rPr>
            <w:noProof/>
            <w:webHidden/>
          </w:rPr>
          <w:fldChar w:fldCharType="end"/>
        </w:r>
      </w:hyperlink>
    </w:p>
    <w:p w14:paraId="16F744B0" w14:textId="77777777" w:rsidR="00991F51" w:rsidRDefault="00B46EAA">
      <w:pPr>
        <w:pStyle w:val="TOC1"/>
        <w:rPr>
          <w:rFonts w:asciiTheme="minorHAnsi" w:eastAsiaTheme="minorEastAsia" w:hAnsiTheme="minorHAnsi" w:cstheme="minorBidi"/>
          <w:kern w:val="0"/>
          <w:sz w:val="24"/>
          <w:szCs w:val="24"/>
        </w:rPr>
      </w:pPr>
      <w:hyperlink w:anchor="_Toc478312778" w:history="1">
        <w:r w:rsidR="00991F51" w:rsidRPr="00D2330E">
          <w:rPr>
            <w:rStyle w:val="Hyperlink"/>
            <w:bCs/>
          </w:rPr>
          <w:t>5</w:t>
        </w:r>
        <w:r w:rsidR="00991F51">
          <w:rPr>
            <w:rFonts w:asciiTheme="minorHAnsi" w:eastAsiaTheme="minorEastAsia" w:hAnsiTheme="minorHAnsi" w:cstheme="minorBidi"/>
            <w:kern w:val="0"/>
            <w:sz w:val="24"/>
            <w:szCs w:val="24"/>
          </w:rPr>
          <w:tab/>
        </w:r>
        <w:r w:rsidR="00991F51" w:rsidRPr="00D2330E">
          <w:rPr>
            <w:rStyle w:val="Hyperlink"/>
          </w:rPr>
          <w:t>Consent Receipt - JSON</w:t>
        </w:r>
        <w:r w:rsidR="00991F51">
          <w:rPr>
            <w:webHidden/>
          </w:rPr>
          <w:tab/>
        </w:r>
        <w:r w:rsidR="00991F51">
          <w:rPr>
            <w:webHidden/>
          </w:rPr>
          <w:fldChar w:fldCharType="begin"/>
        </w:r>
        <w:r w:rsidR="00991F51">
          <w:rPr>
            <w:webHidden/>
          </w:rPr>
          <w:instrText xml:space="preserve"> PAGEREF _Toc478312778 \h </w:instrText>
        </w:r>
        <w:r w:rsidR="00991F51">
          <w:rPr>
            <w:webHidden/>
          </w:rPr>
        </w:r>
        <w:r w:rsidR="00991F51">
          <w:rPr>
            <w:webHidden/>
          </w:rPr>
          <w:fldChar w:fldCharType="separate"/>
        </w:r>
        <w:r w:rsidR="00991F51">
          <w:rPr>
            <w:webHidden/>
          </w:rPr>
          <w:t>12</w:t>
        </w:r>
        <w:r w:rsidR="00991F51">
          <w:rPr>
            <w:webHidden/>
          </w:rPr>
          <w:fldChar w:fldCharType="end"/>
        </w:r>
      </w:hyperlink>
    </w:p>
    <w:p w14:paraId="2712CD09" w14:textId="77777777" w:rsidR="00991F51" w:rsidRDefault="00B46EAA">
      <w:pPr>
        <w:pStyle w:val="TOC2"/>
        <w:rPr>
          <w:rFonts w:asciiTheme="minorHAnsi" w:eastAsiaTheme="minorEastAsia" w:hAnsiTheme="minorHAnsi" w:cstheme="minorBidi"/>
          <w:noProof/>
          <w:kern w:val="0"/>
          <w:sz w:val="24"/>
        </w:rPr>
      </w:pPr>
      <w:hyperlink w:anchor="_Toc478312779" w:history="1">
        <w:r w:rsidR="00991F51" w:rsidRPr="00D2330E">
          <w:rPr>
            <w:rStyle w:val="Hyperlink"/>
            <w:noProof/>
          </w:rPr>
          <w:t>5.1</w:t>
        </w:r>
        <w:r w:rsidR="00991F51">
          <w:rPr>
            <w:rFonts w:asciiTheme="minorHAnsi" w:eastAsiaTheme="minorEastAsia" w:hAnsiTheme="minorHAnsi" w:cstheme="minorBidi"/>
            <w:noProof/>
            <w:kern w:val="0"/>
            <w:sz w:val="24"/>
          </w:rPr>
          <w:tab/>
        </w:r>
        <w:r w:rsidR="00991F51" w:rsidRPr="00D2330E">
          <w:rPr>
            <w:rStyle w:val="Hyperlink"/>
            <w:noProof/>
          </w:rPr>
          <w:t>JSON Fields</w:t>
        </w:r>
        <w:r w:rsidR="00991F51">
          <w:rPr>
            <w:noProof/>
            <w:webHidden/>
          </w:rPr>
          <w:tab/>
        </w:r>
        <w:r w:rsidR="00991F51">
          <w:rPr>
            <w:noProof/>
            <w:webHidden/>
          </w:rPr>
          <w:fldChar w:fldCharType="begin"/>
        </w:r>
        <w:r w:rsidR="00991F51">
          <w:rPr>
            <w:noProof/>
            <w:webHidden/>
          </w:rPr>
          <w:instrText xml:space="preserve"> PAGEREF _Toc478312779 \h </w:instrText>
        </w:r>
        <w:r w:rsidR="00991F51">
          <w:rPr>
            <w:noProof/>
            <w:webHidden/>
          </w:rPr>
        </w:r>
        <w:r w:rsidR="00991F51">
          <w:rPr>
            <w:noProof/>
            <w:webHidden/>
          </w:rPr>
          <w:fldChar w:fldCharType="separate"/>
        </w:r>
        <w:r w:rsidR="00991F51">
          <w:rPr>
            <w:noProof/>
            <w:webHidden/>
          </w:rPr>
          <w:t>12</w:t>
        </w:r>
        <w:r w:rsidR="00991F51">
          <w:rPr>
            <w:noProof/>
            <w:webHidden/>
          </w:rPr>
          <w:fldChar w:fldCharType="end"/>
        </w:r>
      </w:hyperlink>
    </w:p>
    <w:p w14:paraId="1750957C" w14:textId="77777777" w:rsidR="00991F51" w:rsidRDefault="00B46EAA">
      <w:pPr>
        <w:pStyle w:val="TOC2"/>
        <w:rPr>
          <w:rFonts w:asciiTheme="minorHAnsi" w:eastAsiaTheme="minorEastAsia" w:hAnsiTheme="minorHAnsi" w:cstheme="minorBidi"/>
          <w:noProof/>
          <w:kern w:val="0"/>
          <w:sz w:val="24"/>
        </w:rPr>
      </w:pPr>
      <w:hyperlink w:anchor="_Toc478312780" w:history="1">
        <w:r w:rsidR="00991F51" w:rsidRPr="00D2330E">
          <w:rPr>
            <w:rStyle w:val="Hyperlink"/>
            <w:noProof/>
          </w:rPr>
          <w:t>5.2</w:t>
        </w:r>
        <w:r w:rsidR="00991F51">
          <w:rPr>
            <w:rFonts w:asciiTheme="minorHAnsi" w:eastAsiaTheme="minorEastAsia" w:hAnsiTheme="minorHAnsi" w:cstheme="minorBidi"/>
            <w:noProof/>
            <w:kern w:val="0"/>
            <w:sz w:val="24"/>
          </w:rPr>
          <w:tab/>
        </w:r>
        <w:r w:rsidR="00991F51" w:rsidRPr="00D2330E">
          <w:rPr>
            <w:rStyle w:val="Hyperlink"/>
            <w:noProof/>
          </w:rPr>
          <w:t>JSON Schema</w:t>
        </w:r>
        <w:r w:rsidR="00991F51">
          <w:rPr>
            <w:noProof/>
            <w:webHidden/>
          </w:rPr>
          <w:tab/>
        </w:r>
        <w:r w:rsidR="00991F51">
          <w:rPr>
            <w:noProof/>
            <w:webHidden/>
          </w:rPr>
          <w:fldChar w:fldCharType="begin"/>
        </w:r>
        <w:r w:rsidR="00991F51">
          <w:rPr>
            <w:noProof/>
            <w:webHidden/>
          </w:rPr>
          <w:instrText xml:space="preserve"> PAGEREF _Toc478312780 \h </w:instrText>
        </w:r>
        <w:r w:rsidR="00991F51">
          <w:rPr>
            <w:noProof/>
            <w:webHidden/>
          </w:rPr>
        </w:r>
        <w:r w:rsidR="00991F51">
          <w:rPr>
            <w:noProof/>
            <w:webHidden/>
          </w:rPr>
          <w:fldChar w:fldCharType="separate"/>
        </w:r>
        <w:r w:rsidR="00991F51">
          <w:rPr>
            <w:noProof/>
            <w:webHidden/>
          </w:rPr>
          <w:t>14</w:t>
        </w:r>
        <w:r w:rsidR="00991F51">
          <w:rPr>
            <w:noProof/>
            <w:webHidden/>
          </w:rPr>
          <w:fldChar w:fldCharType="end"/>
        </w:r>
      </w:hyperlink>
    </w:p>
    <w:p w14:paraId="098366E7" w14:textId="77777777" w:rsidR="00991F51" w:rsidRDefault="00B46EAA">
      <w:pPr>
        <w:pStyle w:val="TOC1"/>
        <w:rPr>
          <w:rFonts w:asciiTheme="minorHAnsi" w:eastAsiaTheme="minorEastAsia" w:hAnsiTheme="minorHAnsi" w:cstheme="minorBidi"/>
          <w:kern w:val="0"/>
          <w:sz w:val="24"/>
          <w:szCs w:val="24"/>
        </w:rPr>
      </w:pPr>
      <w:hyperlink w:anchor="_Toc478312781" w:history="1">
        <w:r w:rsidR="00991F51" w:rsidRPr="00D2330E">
          <w:rPr>
            <w:rStyle w:val="Hyperlink"/>
            <w:bCs/>
          </w:rPr>
          <w:t>6</w:t>
        </w:r>
        <w:r w:rsidR="00991F51">
          <w:rPr>
            <w:rFonts w:asciiTheme="minorHAnsi" w:eastAsiaTheme="minorEastAsia" w:hAnsiTheme="minorHAnsi" w:cstheme="minorBidi"/>
            <w:kern w:val="0"/>
            <w:sz w:val="24"/>
            <w:szCs w:val="24"/>
          </w:rPr>
          <w:tab/>
        </w:r>
        <w:r w:rsidR="00991F51" w:rsidRPr="00D2330E">
          <w:rPr>
            <w:rStyle w:val="Hyperlink"/>
          </w:rPr>
          <w:t>Conformance</w:t>
        </w:r>
        <w:r w:rsidR="00991F51">
          <w:rPr>
            <w:webHidden/>
          </w:rPr>
          <w:tab/>
        </w:r>
        <w:r w:rsidR="00991F51">
          <w:rPr>
            <w:webHidden/>
          </w:rPr>
          <w:fldChar w:fldCharType="begin"/>
        </w:r>
        <w:r w:rsidR="00991F51">
          <w:rPr>
            <w:webHidden/>
          </w:rPr>
          <w:instrText xml:space="preserve"> PAGEREF _Toc478312781 \h </w:instrText>
        </w:r>
        <w:r w:rsidR="00991F51">
          <w:rPr>
            <w:webHidden/>
          </w:rPr>
        </w:r>
        <w:r w:rsidR="00991F51">
          <w:rPr>
            <w:webHidden/>
          </w:rPr>
          <w:fldChar w:fldCharType="separate"/>
        </w:r>
        <w:r w:rsidR="00991F51">
          <w:rPr>
            <w:webHidden/>
          </w:rPr>
          <w:t>17</w:t>
        </w:r>
        <w:r w:rsidR="00991F51">
          <w:rPr>
            <w:webHidden/>
          </w:rPr>
          <w:fldChar w:fldCharType="end"/>
        </w:r>
      </w:hyperlink>
    </w:p>
    <w:p w14:paraId="110F6FE2" w14:textId="77777777" w:rsidR="00991F51" w:rsidRDefault="00B46EAA">
      <w:pPr>
        <w:pStyle w:val="TOC1"/>
        <w:rPr>
          <w:rFonts w:asciiTheme="minorHAnsi" w:eastAsiaTheme="minorEastAsia" w:hAnsiTheme="minorHAnsi" w:cstheme="minorBidi"/>
          <w:kern w:val="0"/>
          <w:sz w:val="24"/>
          <w:szCs w:val="24"/>
        </w:rPr>
      </w:pPr>
      <w:hyperlink w:anchor="_Toc478312782" w:history="1">
        <w:r w:rsidR="00991F51" w:rsidRPr="00D2330E">
          <w:rPr>
            <w:rStyle w:val="Hyperlink"/>
            <w:bCs/>
          </w:rPr>
          <w:t>7</w:t>
        </w:r>
        <w:r w:rsidR="00991F51">
          <w:rPr>
            <w:rFonts w:asciiTheme="minorHAnsi" w:eastAsiaTheme="minorEastAsia" w:hAnsiTheme="minorHAnsi" w:cstheme="minorBidi"/>
            <w:kern w:val="0"/>
            <w:sz w:val="24"/>
            <w:szCs w:val="24"/>
          </w:rPr>
          <w:tab/>
        </w:r>
        <w:r w:rsidR="00991F51" w:rsidRPr="00D2330E">
          <w:rPr>
            <w:rStyle w:val="Hyperlink"/>
          </w:rPr>
          <w:t>Considerations (non-normative)</w:t>
        </w:r>
        <w:r w:rsidR="00991F51">
          <w:rPr>
            <w:webHidden/>
          </w:rPr>
          <w:tab/>
        </w:r>
        <w:r w:rsidR="00991F51">
          <w:rPr>
            <w:webHidden/>
          </w:rPr>
          <w:fldChar w:fldCharType="begin"/>
        </w:r>
        <w:r w:rsidR="00991F51">
          <w:rPr>
            <w:webHidden/>
          </w:rPr>
          <w:instrText xml:space="preserve"> PAGEREF _Toc478312782 \h </w:instrText>
        </w:r>
        <w:r w:rsidR="00991F51">
          <w:rPr>
            <w:webHidden/>
          </w:rPr>
        </w:r>
        <w:r w:rsidR="00991F51">
          <w:rPr>
            <w:webHidden/>
          </w:rPr>
          <w:fldChar w:fldCharType="separate"/>
        </w:r>
        <w:r w:rsidR="00991F51">
          <w:rPr>
            <w:webHidden/>
          </w:rPr>
          <w:t>18</w:t>
        </w:r>
        <w:r w:rsidR="00991F51">
          <w:rPr>
            <w:webHidden/>
          </w:rPr>
          <w:fldChar w:fldCharType="end"/>
        </w:r>
      </w:hyperlink>
    </w:p>
    <w:p w14:paraId="1843DAEA" w14:textId="77777777" w:rsidR="00991F51" w:rsidRDefault="00B46EAA">
      <w:pPr>
        <w:pStyle w:val="TOC2"/>
        <w:rPr>
          <w:rFonts w:asciiTheme="minorHAnsi" w:eastAsiaTheme="minorEastAsia" w:hAnsiTheme="minorHAnsi" w:cstheme="minorBidi"/>
          <w:noProof/>
          <w:kern w:val="0"/>
          <w:sz w:val="24"/>
        </w:rPr>
      </w:pPr>
      <w:hyperlink w:anchor="_Toc478312783" w:history="1">
        <w:r w:rsidR="00991F51" w:rsidRPr="00D2330E">
          <w:rPr>
            <w:rStyle w:val="Hyperlink"/>
            <w:noProof/>
          </w:rPr>
          <w:t>7.1</w:t>
        </w:r>
        <w:r w:rsidR="00991F51">
          <w:rPr>
            <w:rFonts w:asciiTheme="minorHAnsi" w:eastAsiaTheme="minorEastAsia" w:hAnsiTheme="minorHAnsi" w:cstheme="minorBidi"/>
            <w:noProof/>
            <w:kern w:val="0"/>
            <w:sz w:val="24"/>
          </w:rPr>
          <w:tab/>
        </w:r>
        <w:r w:rsidR="00991F51" w:rsidRPr="00D2330E">
          <w:rPr>
            <w:rStyle w:val="Hyperlink"/>
            <w:noProof/>
          </w:rPr>
          <w:t>A Consent Receipt is PII</w:t>
        </w:r>
        <w:r w:rsidR="00991F51">
          <w:rPr>
            <w:noProof/>
            <w:webHidden/>
          </w:rPr>
          <w:tab/>
        </w:r>
        <w:r w:rsidR="00991F51">
          <w:rPr>
            <w:noProof/>
            <w:webHidden/>
          </w:rPr>
          <w:fldChar w:fldCharType="begin"/>
        </w:r>
        <w:r w:rsidR="00991F51">
          <w:rPr>
            <w:noProof/>
            <w:webHidden/>
          </w:rPr>
          <w:instrText xml:space="preserve"> PAGEREF _Toc478312783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7E32041E" w14:textId="77777777" w:rsidR="00991F51" w:rsidRDefault="00B46EAA">
      <w:pPr>
        <w:pStyle w:val="TOC2"/>
        <w:rPr>
          <w:rFonts w:asciiTheme="minorHAnsi" w:eastAsiaTheme="minorEastAsia" w:hAnsiTheme="minorHAnsi" w:cstheme="minorBidi"/>
          <w:noProof/>
          <w:kern w:val="0"/>
          <w:sz w:val="24"/>
        </w:rPr>
      </w:pPr>
      <w:hyperlink w:anchor="_Toc478312784" w:history="1">
        <w:r w:rsidR="00991F51" w:rsidRPr="00D2330E">
          <w:rPr>
            <w:rStyle w:val="Hyperlink"/>
            <w:noProof/>
          </w:rPr>
          <w:t>7.2</w:t>
        </w:r>
        <w:r w:rsidR="00991F51">
          <w:rPr>
            <w:rFonts w:asciiTheme="minorHAnsi" w:eastAsiaTheme="minorEastAsia" w:hAnsiTheme="minorHAnsi" w:cstheme="minorBidi"/>
            <w:noProof/>
            <w:kern w:val="0"/>
            <w:sz w:val="24"/>
          </w:rPr>
          <w:tab/>
        </w:r>
        <w:r w:rsidR="00991F51" w:rsidRPr="00D2330E">
          <w:rPr>
            <w:rStyle w:val="Hyperlink"/>
            <w:noProof/>
          </w:rPr>
          <w:t>Sensitive PII: Liability &amp; Compliance</w:t>
        </w:r>
        <w:r w:rsidR="00991F51">
          <w:rPr>
            <w:noProof/>
            <w:webHidden/>
          </w:rPr>
          <w:tab/>
        </w:r>
        <w:r w:rsidR="00991F51">
          <w:rPr>
            <w:noProof/>
            <w:webHidden/>
          </w:rPr>
          <w:fldChar w:fldCharType="begin"/>
        </w:r>
        <w:r w:rsidR="00991F51">
          <w:rPr>
            <w:noProof/>
            <w:webHidden/>
          </w:rPr>
          <w:instrText xml:space="preserve"> PAGEREF _Toc478312784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5FD4ED2E" w14:textId="77777777" w:rsidR="00991F51" w:rsidRDefault="00B46EAA">
      <w:pPr>
        <w:pStyle w:val="TOC2"/>
        <w:rPr>
          <w:rFonts w:asciiTheme="minorHAnsi" w:eastAsiaTheme="minorEastAsia" w:hAnsiTheme="minorHAnsi" w:cstheme="minorBidi"/>
          <w:noProof/>
          <w:kern w:val="0"/>
          <w:sz w:val="24"/>
        </w:rPr>
      </w:pPr>
      <w:hyperlink w:anchor="_Toc478312785" w:history="1">
        <w:r w:rsidR="00991F51" w:rsidRPr="00D2330E">
          <w:rPr>
            <w:rStyle w:val="Hyperlink"/>
            <w:noProof/>
          </w:rPr>
          <w:t>7.3</w:t>
        </w:r>
        <w:r w:rsidR="00991F51">
          <w:rPr>
            <w:rFonts w:asciiTheme="minorHAnsi" w:eastAsiaTheme="minorEastAsia" w:hAnsiTheme="minorHAnsi" w:cstheme="minorBidi"/>
            <w:noProof/>
            <w:kern w:val="0"/>
            <w:sz w:val="24"/>
          </w:rPr>
          <w:tab/>
        </w:r>
        <w:r w:rsidR="00991F51" w:rsidRPr="00D2330E">
          <w:rPr>
            <w:rStyle w:val="Hyperlink"/>
            <w:noProof/>
          </w:rPr>
          <w:t>Security and Integrity of JSON</w:t>
        </w:r>
        <w:r w:rsidR="00991F51">
          <w:rPr>
            <w:noProof/>
            <w:webHidden/>
          </w:rPr>
          <w:tab/>
        </w:r>
        <w:r w:rsidR="00991F51">
          <w:rPr>
            <w:noProof/>
            <w:webHidden/>
          </w:rPr>
          <w:fldChar w:fldCharType="begin"/>
        </w:r>
        <w:r w:rsidR="00991F51">
          <w:rPr>
            <w:noProof/>
            <w:webHidden/>
          </w:rPr>
          <w:instrText xml:space="preserve"> PAGEREF _Toc478312785 \h </w:instrText>
        </w:r>
        <w:r w:rsidR="00991F51">
          <w:rPr>
            <w:noProof/>
            <w:webHidden/>
          </w:rPr>
        </w:r>
        <w:r w:rsidR="00991F51">
          <w:rPr>
            <w:noProof/>
            <w:webHidden/>
          </w:rPr>
          <w:fldChar w:fldCharType="separate"/>
        </w:r>
        <w:r w:rsidR="00991F51">
          <w:rPr>
            <w:noProof/>
            <w:webHidden/>
          </w:rPr>
          <w:t>19</w:t>
        </w:r>
        <w:r w:rsidR="00991F51">
          <w:rPr>
            <w:noProof/>
            <w:webHidden/>
          </w:rPr>
          <w:fldChar w:fldCharType="end"/>
        </w:r>
      </w:hyperlink>
    </w:p>
    <w:p w14:paraId="069BE856" w14:textId="77777777" w:rsidR="00991F51" w:rsidRDefault="00B46EAA">
      <w:pPr>
        <w:pStyle w:val="TOC1"/>
        <w:rPr>
          <w:rFonts w:asciiTheme="minorHAnsi" w:eastAsiaTheme="minorEastAsia" w:hAnsiTheme="minorHAnsi" w:cstheme="minorBidi"/>
          <w:kern w:val="0"/>
          <w:sz w:val="24"/>
          <w:szCs w:val="24"/>
        </w:rPr>
      </w:pPr>
      <w:hyperlink w:anchor="_Toc478312786" w:history="1">
        <w:r w:rsidR="00991F51" w:rsidRPr="00D2330E">
          <w:rPr>
            <w:rStyle w:val="Hyperlink"/>
            <w:bCs/>
          </w:rPr>
          <w:t>8</w:t>
        </w:r>
        <w:r w:rsidR="00991F51">
          <w:rPr>
            <w:rFonts w:asciiTheme="minorHAnsi" w:eastAsiaTheme="minorEastAsia" w:hAnsiTheme="minorHAnsi" w:cstheme="minorBidi"/>
            <w:kern w:val="0"/>
            <w:sz w:val="24"/>
            <w:szCs w:val="24"/>
          </w:rPr>
          <w:tab/>
        </w:r>
        <w:r w:rsidR="00991F51" w:rsidRPr="00D2330E">
          <w:rPr>
            <w:rStyle w:val="Hyperlink"/>
          </w:rPr>
          <w:t>Acknowledgements</w:t>
        </w:r>
        <w:r w:rsidR="00991F51">
          <w:rPr>
            <w:webHidden/>
          </w:rPr>
          <w:tab/>
        </w:r>
        <w:r w:rsidR="00991F51">
          <w:rPr>
            <w:webHidden/>
          </w:rPr>
          <w:fldChar w:fldCharType="begin"/>
        </w:r>
        <w:r w:rsidR="00991F51">
          <w:rPr>
            <w:webHidden/>
          </w:rPr>
          <w:instrText xml:space="preserve"> PAGEREF _Toc478312786 \h </w:instrText>
        </w:r>
        <w:r w:rsidR="00991F51">
          <w:rPr>
            <w:webHidden/>
          </w:rPr>
        </w:r>
        <w:r w:rsidR="00991F51">
          <w:rPr>
            <w:webHidden/>
          </w:rPr>
          <w:fldChar w:fldCharType="separate"/>
        </w:r>
        <w:r w:rsidR="00991F51">
          <w:rPr>
            <w:webHidden/>
          </w:rPr>
          <w:t>20</w:t>
        </w:r>
        <w:r w:rsidR="00991F51">
          <w:rPr>
            <w:webHidden/>
          </w:rPr>
          <w:fldChar w:fldCharType="end"/>
        </w:r>
      </w:hyperlink>
    </w:p>
    <w:p w14:paraId="262CF0ED" w14:textId="77777777" w:rsidR="00991F51" w:rsidRDefault="00B46EAA">
      <w:pPr>
        <w:pStyle w:val="TOC1"/>
        <w:rPr>
          <w:rFonts w:asciiTheme="minorHAnsi" w:eastAsiaTheme="minorEastAsia" w:hAnsiTheme="minorHAnsi" w:cstheme="minorBidi"/>
          <w:kern w:val="0"/>
          <w:sz w:val="24"/>
          <w:szCs w:val="24"/>
        </w:rPr>
      </w:pPr>
      <w:hyperlink w:anchor="_Toc478312787" w:history="1">
        <w:r w:rsidR="00991F51" w:rsidRPr="00D2330E">
          <w:rPr>
            <w:rStyle w:val="Hyperlink"/>
            <w:bCs/>
          </w:rPr>
          <w:t>9</w:t>
        </w:r>
        <w:r w:rsidR="00991F51">
          <w:rPr>
            <w:rFonts w:asciiTheme="minorHAnsi" w:eastAsiaTheme="minorEastAsia" w:hAnsiTheme="minorHAnsi" w:cstheme="minorBidi"/>
            <w:kern w:val="0"/>
            <w:sz w:val="24"/>
            <w:szCs w:val="24"/>
          </w:rPr>
          <w:tab/>
        </w:r>
        <w:r w:rsidR="00991F51" w:rsidRPr="00D2330E">
          <w:rPr>
            <w:rStyle w:val="Hyperlink"/>
          </w:rPr>
          <w:t>References</w:t>
        </w:r>
        <w:r w:rsidR="00991F51">
          <w:rPr>
            <w:webHidden/>
          </w:rPr>
          <w:tab/>
        </w:r>
        <w:r w:rsidR="00991F51">
          <w:rPr>
            <w:webHidden/>
          </w:rPr>
          <w:fldChar w:fldCharType="begin"/>
        </w:r>
        <w:r w:rsidR="00991F51">
          <w:rPr>
            <w:webHidden/>
          </w:rPr>
          <w:instrText xml:space="preserve"> PAGEREF _Toc478312787 \h </w:instrText>
        </w:r>
        <w:r w:rsidR="00991F51">
          <w:rPr>
            <w:webHidden/>
          </w:rPr>
        </w:r>
        <w:r w:rsidR="00991F51">
          <w:rPr>
            <w:webHidden/>
          </w:rPr>
          <w:fldChar w:fldCharType="separate"/>
        </w:r>
        <w:r w:rsidR="00991F51">
          <w:rPr>
            <w:webHidden/>
          </w:rPr>
          <w:t>21</w:t>
        </w:r>
        <w:r w:rsidR="00991F51">
          <w:rPr>
            <w:webHidden/>
          </w:rPr>
          <w:fldChar w:fldCharType="end"/>
        </w:r>
      </w:hyperlink>
    </w:p>
    <w:p w14:paraId="25238B17" w14:textId="77777777" w:rsidR="00991F51" w:rsidRDefault="00B46EAA">
      <w:pPr>
        <w:pStyle w:val="TOC1"/>
        <w:tabs>
          <w:tab w:val="left" w:pos="1440"/>
        </w:tabs>
        <w:rPr>
          <w:rFonts w:asciiTheme="minorHAnsi" w:eastAsiaTheme="minorEastAsia" w:hAnsiTheme="minorHAnsi" w:cstheme="minorBidi"/>
          <w:kern w:val="0"/>
          <w:sz w:val="24"/>
          <w:szCs w:val="24"/>
        </w:rPr>
      </w:pPr>
      <w:hyperlink w:anchor="_Toc478312788" w:history="1">
        <w:r w:rsidR="00991F51" w:rsidRPr="00D2330E">
          <w:rPr>
            <w:rStyle w:val="Hyperlink"/>
          </w:rPr>
          <w:t>Appendix A:</w:t>
        </w:r>
        <w:r w:rsidR="00991F51">
          <w:rPr>
            <w:rFonts w:asciiTheme="minorHAnsi" w:eastAsiaTheme="minorEastAsia" w:hAnsiTheme="minorHAnsi" w:cstheme="minorBidi"/>
            <w:kern w:val="0"/>
            <w:sz w:val="24"/>
            <w:szCs w:val="24"/>
          </w:rPr>
          <w:tab/>
        </w:r>
        <w:r w:rsidR="00991F51" w:rsidRPr="00D2330E">
          <w:rPr>
            <w:rStyle w:val="Hyperlink"/>
          </w:rPr>
          <w:t>PII Categories of Data</w:t>
        </w:r>
        <w:r w:rsidR="00991F51">
          <w:rPr>
            <w:webHidden/>
          </w:rPr>
          <w:tab/>
        </w:r>
        <w:r w:rsidR="00991F51">
          <w:rPr>
            <w:webHidden/>
          </w:rPr>
          <w:fldChar w:fldCharType="begin"/>
        </w:r>
        <w:r w:rsidR="00991F51">
          <w:rPr>
            <w:webHidden/>
          </w:rPr>
          <w:instrText xml:space="preserve"> PAGEREF _Toc478312788 \h </w:instrText>
        </w:r>
        <w:r w:rsidR="00991F51">
          <w:rPr>
            <w:webHidden/>
          </w:rPr>
        </w:r>
        <w:r w:rsidR="00991F51">
          <w:rPr>
            <w:webHidden/>
          </w:rPr>
          <w:fldChar w:fldCharType="separate"/>
        </w:r>
        <w:r w:rsidR="00991F51">
          <w:rPr>
            <w:webHidden/>
          </w:rPr>
          <w:t>22</w:t>
        </w:r>
        <w:r w:rsidR="00991F51">
          <w:rPr>
            <w:webHidden/>
          </w:rPr>
          <w:fldChar w:fldCharType="end"/>
        </w:r>
      </w:hyperlink>
    </w:p>
    <w:p w14:paraId="5F9BC6C6" w14:textId="77777777" w:rsidR="00991F51" w:rsidRDefault="00B46EAA">
      <w:pPr>
        <w:pStyle w:val="TOC1"/>
        <w:tabs>
          <w:tab w:val="left" w:pos="1440"/>
        </w:tabs>
        <w:rPr>
          <w:rFonts w:asciiTheme="minorHAnsi" w:eastAsiaTheme="minorEastAsia" w:hAnsiTheme="minorHAnsi" w:cstheme="minorBidi"/>
          <w:kern w:val="0"/>
          <w:sz w:val="24"/>
          <w:szCs w:val="24"/>
        </w:rPr>
      </w:pPr>
      <w:hyperlink w:anchor="_Toc478312789" w:history="1">
        <w:r w:rsidR="00991F51" w:rsidRPr="00D2330E">
          <w:rPr>
            <w:rStyle w:val="Hyperlink"/>
          </w:rPr>
          <w:t>Appendix B:</w:t>
        </w:r>
        <w:r w:rsidR="00991F51">
          <w:rPr>
            <w:rFonts w:asciiTheme="minorHAnsi" w:eastAsiaTheme="minorEastAsia" w:hAnsiTheme="minorHAnsi" w:cstheme="minorBidi"/>
            <w:kern w:val="0"/>
            <w:sz w:val="24"/>
            <w:szCs w:val="24"/>
          </w:rPr>
          <w:tab/>
        </w:r>
        <w:r w:rsidR="00991F51" w:rsidRPr="00D2330E">
          <w:rPr>
            <w:rStyle w:val="Hyperlink"/>
          </w:rPr>
          <w:t>Example Consent Receipts</w:t>
        </w:r>
        <w:r w:rsidR="00991F51">
          <w:rPr>
            <w:webHidden/>
          </w:rPr>
          <w:tab/>
        </w:r>
        <w:r w:rsidR="00991F51">
          <w:rPr>
            <w:webHidden/>
          </w:rPr>
          <w:fldChar w:fldCharType="begin"/>
        </w:r>
        <w:r w:rsidR="00991F51">
          <w:rPr>
            <w:webHidden/>
          </w:rPr>
          <w:instrText xml:space="preserve"> PAGEREF _Toc478312789 \h </w:instrText>
        </w:r>
        <w:r w:rsidR="00991F51">
          <w:rPr>
            <w:webHidden/>
          </w:rPr>
        </w:r>
        <w:r w:rsidR="00991F51">
          <w:rPr>
            <w:webHidden/>
          </w:rPr>
          <w:fldChar w:fldCharType="separate"/>
        </w:r>
        <w:r w:rsidR="00991F51">
          <w:rPr>
            <w:webHidden/>
          </w:rPr>
          <w:t>24</w:t>
        </w:r>
        <w:r w:rsidR="00991F51">
          <w:rPr>
            <w:webHidden/>
          </w:rPr>
          <w:fldChar w:fldCharType="end"/>
        </w:r>
      </w:hyperlink>
    </w:p>
    <w:p w14:paraId="76257677" w14:textId="77777777" w:rsidR="00991F51" w:rsidRDefault="00B46EAA">
      <w:pPr>
        <w:pStyle w:val="TOC1"/>
        <w:rPr>
          <w:rFonts w:asciiTheme="minorHAnsi" w:eastAsiaTheme="minorEastAsia" w:hAnsiTheme="minorHAnsi" w:cstheme="minorBidi"/>
          <w:kern w:val="0"/>
          <w:sz w:val="24"/>
          <w:szCs w:val="24"/>
        </w:rPr>
      </w:pPr>
      <w:hyperlink w:anchor="_Toc478312790" w:history="1">
        <w:r w:rsidR="00991F51" w:rsidRPr="00D2330E">
          <w:rPr>
            <w:rStyle w:val="Hyperlink"/>
          </w:rPr>
          <w:t>Revision history</w:t>
        </w:r>
        <w:r w:rsidR="00991F51">
          <w:rPr>
            <w:webHidden/>
          </w:rPr>
          <w:tab/>
        </w:r>
        <w:r w:rsidR="00991F51">
          <w:rPr>
            <w:webHidden/>
          </w:rPr>
          <w:fldChar w:fldCharType="begin"/>
        </w:r>
        <w:r w:rsidR="00991F51">
          <w:rPr>
            <w:webHidden/>
          </w:rPr>
          <w:instrText xml:space="preserve"> PAGEREF _Toc478312790 \h </w:instrText>
        </w:r>
        <w:r w:rsidR="00991F51">
          <w:rPr>
            <w:webHidden/>
          </w:rPr>
        </w:r>
        <w:r w:rsidR="00991F51">
          <w:rPr>
            <w:webHidden/>
          </w:rPr>
          <w:fldChar w:fldCharType="separate"/>
        </w:r>
        <w:r w:rsidR="00991F51">
          <w:rPr>
            <w:webHidden/>
          </w:rPr>
          <w:t>29</w:t>
        </w:r>
        <w:r w:rsidR="00991F51">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3" w:name="Section1"/>
      <w:bookmarkStart w:id="24" w:name="_Toc478312772"/>
      <w:bookmarkStart w:id="25" w:name="_Ref90429168"/>
      <w:bookmarkStart w:id="26" w:name="_Ref90430045"/>
      <w:bookmarkEnd w:id="23"/>
      <w:r>
        <w:lastRenderedPageBreak/>
        <w:t>Introduction</w:t>
      </w:r>
      <w:bookmarkEnd w:id="24"/>
    </w:p>
    <w:p w14:paraId="0671789F" w14:textId="77777777" w:rsidR="004C438C" w:rsidRDefault="004C438C" w:rsidP="004C438C">
      <w:pPr>
        <w:rPr>
          <w:noProof/>
        </w:rPr>
      </w:pPr>
      <w:bookmarkStart w:id="27" w:name="Section2"/>
      <w:bookmarkStart w:id="28" w:name="table21"/>
      <w:bookmarkStart w:id="29" w:name="table22"/>
      <w:bookmarkStart w:id="30" w:name="Section3"/>
      <w:bookmarkStart w:id="31" w:name="_Common_Organizational_Service"/>
      <w:bookmarkStart w:id="32" w:name="_Toc92878721"/>
      <w:bookmarkStart w:id="33" w:name="_Toc92878723"/>
      <w:bookmarkStart w:id="34" w:name="_Toc92878727"/>
      <w:bookmarkStart w:id="35" w:name="_Toc92878729"/>
      <w:bookmarkStart w:id="36" w:name="_Toc92878735"/>
      <w:bookmarkStart w:id="37" w:name="_Toc92878744"/>
      <w:bookmarkStart w:id="38" w:name="_Toc92878753"/>
      <w:bookmarkStart w:id="39" w:name="_Toc92878762"/>
      <w:bookmarkStart w:id="40" w:name="_Identity_Proofing_Service"/>
      <w:bookmarkStart w:id="41" w:name="_Policy_"/>
      <w:bookmarkStart w:id="42" w:name="_In-Person_Public_Verification_"/>
      <w:bookmarkStart w:id="43" w:name="_Remote_Public_Verification_"/>
      <w:bookmarkStart w:id="44" w:name="_Secondary_Verification_"/>
      <w:bookmarkStart w:id="45" w:name="_Policy"/>
      <w:bookmarkStart w:id="46" w:name="_In-Person_Public_Verification"/>
      <w:bookmarkStart w:id="47" w:name="_Remote_Public_Verification"/>
      <w:bookmarkStart w:id="48" w:name="_Current_Relationship_Verification"/>
      <w:bookmarkStart w:id="49" w:name="_Affiliation_Verification"/>
      <w:bookmarkStart w:id="50" w:name="_Secondary_Verification"/>
      <w:bookmarkStart w:id="51" w:name="_Verification_Records"/>
      <w:bookmarkStart w:id="52" w:name="_Policy_1"/>
      <w:bookmarkStart w:id="53" w:name="_In-Person_Public_Verification_1"/>
      <w:bookmarkStart w:id="54" w:name="_Remote_Public_Verification_1"/>
      <w:bookmarkStart w:id="55" w:name="_Affiliation_Verification_1"/>
      <w:bookmarkStart w:id="56" w:name="_Secondary_Verification_1"/>
      <w:bookmarkStart w:id="57" w:name="_Verification_Records_1"/>
      <w:bookmarkStart w:id="58" w:name="_Policy_2"/>
      <w:bookmarkStart w:id="59" w:name="_In-Person_Public_Verification_2"/>
      <w:bookmarkStart w:id="60" w:name="_Affiliation_Verification_2"/>
      <w:bookmarkStart w:id="61" w:name="_Secondary_Verification_2"/>
      <w:bookmarkStart w:id="62" w:name="_Verification_Records_2"/>
      <w:bookmarkStart w:id="63" w:name="_Credential_Management_Service"/>
      <w:bookmarkStart w:id="64" w:name="_Credential_Policy_and"/>
      <w:bookmarkStart w:id="65" w:name="_Security_Controls"/>
      <w:bookmarkStart w:id="66" w:name="_Storage_of_Long-term"/>
      <w:bookmarkStart w:id="67" w:name="_Subject_Options"/>
      <w:bookmarkStart w:id="68" w:name="_Credential_Policy_&amp;"/>
      <w:bookmarkStart w:id="69" w:name="_Security_Controls_1"/>
      <w:bookmarkStart w:id="70" w:name="_Storage_of_Long-term_1"/>
      <w:bookmarkStart w:id="71" w:name="_Subject_Options_1"/>
      <w:bookmarkStart w:id="72" w:name="_Credential_Policy_&amp;_1"/>
      <w:bookmarkStart w:id="73" w:name="_Security_Controls_2"/>
      <w:bookmarkStart w:id="74" w:name="_Storage_of_Long-term_2"/>
      <w:bookmarkStart w:id="75" w:name="_Security-relevant_Event_(Audit)"/>
      <w:bookmarkStart w:id="76" w:name="_Subject_options_2"/>
      <w:bookmarkStart w:id="77" w:name="_Certification_Policy_and"/>
      <w:bookmarkStart w:id="78" w:name="_Security_Controls_3"/>
      <w:bookmarkStart w:id="79" w:name="_Storage_of_Long-term_3"/>
      <w:bookmarkStart w:id="80" w:name="_Security-relevant_Event_(Audit)_1"/>
      <w:bookmarkStart w:id="81" w:name="_Subject_Options_3"/>
      <w:bookmarkStart w:id="82" w:name="_Identity_Proofing"/>
      <w:bookmarkStart w:id="83" w:name="_Credential_Creation"/>
      <w:bookmarkStart w:id="84" w:name="_Identity_Proofing_1"/>
      <w:bookmarkStart w:id="85" w:name="_Credential_Creation_1"/>
      <w:bookmarkStart w:id="86" w:name="_Credential_Delivery"/>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noProof/>
        </w:rPr>
        <w:t xml:space="preserve">Current best practices and regulations for privacy protection, and privacy by design, set out requirements for notice and consent, however,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34CB7A29"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w:t>
      </w:r>
      <w:commentRangeStart w:id="87"/>
      <w:r>
        <w:rPr>
          <w:noProof/>
        </w:rPr>
        <w:t>Consent is an individual agreeing to allow an organization to collect, use, and</w:t>
      </w:r>
      <w:r w:rsidR="000F725F">
        <w:rPr>
          <w:noProof/>
        </w:rPr>
        <w:t>/or</w:t>
      </w:r>
      <w:r>
        <w:rPr>
          <w:noProof/>
        </w:rPr>
        <w:t xml:space="preserve"> disclose their data, and data about them, according to a set of terms and conditions defined by the organization. </w:t>
      </w:r>
      <w:commentRangeEnd w:id="87"/>
      <w:r w:rsidR="00AF05F9">
        <w:rPr>
          <w:rStyle w:val="CommentReference"/>
        </w:rPr>
        <w:commentReference w:id="87"/>
      </w:r>
    </w:p>
    <w:p w14:paraId="403C7706" w14:textId="77777777"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commentRangeStart w:id="88"/>
      <w:r>
        <w:rPr>
          <w:noProof/>
        </w:rPr>
        <w:t>transaction</w:t>
      </w:r>
      <w:commentRangeEnd w:id="88"/>
      <w:r w:rsidR="007A6978">
        <w:rPr>
          <w:rStyle w:val="CommentReference"/>
        </w:rPr>
        <w:commentReference w:id="88"/>
      </w:r>
      <w:r>
        <w:rPr>
          <w:noProof/>
        </w:rPr>
        <w:t xml:space="preserve"> and give it to the individual</w:t>
      </w:r>
      <w:r w:rsidR="008D45D9">
        <w:rPr>
          <w:noProof/>
        </w:rPr>
        <w:t>, defined here as a</w:t>
      </w:r>
      <w:r>
        <w:rPr>
          <w:noProof/>
        </w:rPr>
        <w:t xml:space="preserve"> Consent Receipt.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7777777" w:rsidR="00CF1A10" w:rsidRDefault="00957654" w:rsidP="009F7112">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2E9E2A1" w14:textId="77777777" w:rsidR="0091482B" w:rsidRPr="00600CFD" w:rsidRDefault="0077597F" w:rsidP="00CC7DFD">
      <w:pPr>
        <w:pStyle w:val="Heading1"/>
      </w:pPr>
      <w:bookmarkStart w:id="89" w:name="_Toc464682489"/>
      <w:bookmarkStart w:id="90" w:name="_Toc464682788"/>
      <w:bookmarkStart w:id="91" w:name="_Toc463268813"/>
      <w:bookmarkStart w:id="92" w:name="_Toc463268954"/>
      <w:bookmarkStart w:id="93" w:name="_Toc463269063"/>
      <w:bookmarkStart w:id="94" w:name="_Toc463269172"/>
      <w:bookmarkStart w:id="95" w:name="_Toc478312773"/>
      <w:bookmarkEnd w:id="89"/>
      <w:bookmarkEnd w:id="90"/>
      <w:bookmarkEnd w:id="91"/>
      <w:bookmarkEnd w:id="92"/>
      <w:bookmarkEnd w:id="93"/>
      <w:bookmarkEnd w:id="94"/>
      <w:r>
        <w:lastRenderedPageBreak/>
        <w:t>Notations and Ab</w:t>
      </w:r>
      <w:r w:rsidR="005F65E4">
        <w:t>b</w:t>
      </w:r>
      <w:r>
        <w:t>reviations</w:t>
      </w:r>
      <w:bookmarkEnd w:id="95"/>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4">
        <w:r w:rsidRPr="00250695">
          <w:rPr>
            <w:color w:val="1155CC"/>
            <w:u w:val="single"/>
          </w:rPr>
          <w:t>RF</w:t>
        </w:r>
        <w:r w:rsidRPr="00250695">
          <w:rPr>
            <w:color w:val="1155CC"/>
            <w:u w:val="single"/>
          </w:rPr>
          <w:t>C</w:t>
        </w:r>
        <w:r w:rsidRPr="00250695">
          <w:rPr>
            <w:color w:val="1155CC"/>
            <w:u w:val="single"/>
          </w:rPr>
          <w:t xml:space="preserve"> </w:t>
        </w:r>
      </w:hyperlink>
      <w:hyperlink r:id="rId15">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6">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7"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 w14:paraId="5AA30555" w14:textId="77777777" w:rsidR="00FF7505" w:rsidRDefault="00FF7505" w:rsidP="0077597F">
      <w:r>
        <w:t>CPO</w:t>
      </w:r>
      <w:r>
        <w:tab/>
        <w:t>Chief Privacy Officer</w:t>
      </w:r>
    </w:p>
    <w:p w14:paraId="3B1072F5" w14:textId="77777777" w:rsidR="00082C3C" w:rsidRDefault="00082C3C" w:rsidP="0077597F">
      <w:r>
        <w:t>CR</w:t>
      </w:r>
      <w:r>
        <w:tab/>
        <w:t>Consent Receipt</w:t>
      </w:r>
    </w:p>
    <w:p w14:paraId="0116FC1F" w14:textId="77777777" w:rsidR="00FF7505" w:rsidRDefault="00FF7505" w:rsidP="0077597F">
      <w:r>
        <w:t>DPO</w:t>
      </w:r>
      <w:r>
        <w:tab/>
        <w:t>Data Protection Officer</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77777777" w:rsidR="005135DF" w:rsidRDefault="005135DF" w:rsidP="0077597F">
      <w:r>
        <w:t>GDPR</w:t>
      </w:r>
      <w:r w:rsidR="00FF7505">
        <w:tab/>
      </w:r>
      <w:r w:rsidRPr="005135DF">
        <w:t>General Data Protection Regulation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96" w:name="_Toc478312774"/>
      <w:r>
        <w:lastRenderedPageBreak/>
        <w:t>Term</w:t>
      </w:r>
      <w:r w:rsidR="00082C3C">
        <w:t>s and definitions</w:t>
      </w:r>
      <w:bookmarkEnd w:id="96"/>
    </w:p>
    <w:p w14:paraId="7E669C45" w14:textId="77777777"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recognized efforts </w:t>
      </w:r>
      <w:r w:rsidR="009C2364">
        <w:t xml:space="preserve">to maintain consistency with the </w:t>
      </w:r>
      <w:r w:rsidRPr="00CC7DFD">
        <w:t>terms commonly used in the ecosystem. If other organizations</w:t>
      </w:r>
      <w:r w:rsidR="009C2364">
        <w:t>’</w:t>
      </w:r>
      <w:r w:rsidRPr="00CC7DFD">
        <w:t xml:space="preserve"> terms are not compatible with </w:t>
      </w:r>
      <w:r w:rsidR="000C5BDD">
        <w:t xml:space="preserve">this </w:t>
      </w:r>
      <w:r w:rsidRPr="00CC7DFD">
        <w:t xml:space="preserve">specification, this document </w:t>
      </w:r>
      <w:r w:rsidRPr="008B2618">
        <w:rPr>
          <w:noProof/>
        </w:rPr>
        <w:t>will define</w:t>
      </w:r>
      <w:r w:rsidRPr="00CC7DFD">
        <w:t xml:space="preserve"> those terms for clarity and specificity for our 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commentRangeStart w:id="97"/>
      <w:r w:rsidR="00442BCA">
        <w:t>PII Principal</w:t>
      </w:r>
      <w:r w:rsidR="00CC7DFD" w:rsidRPr="00CC7DFD">
        <w:t>.</w:t>
      </w:r>
      <w:commentRangeEnd w:id="97"/>
      <w:r w:rsidR="007461D1">
        <w:rPr>
          <w:rStyle w:val="CommentReference"/>
          <w:rFonts w:eastAsia="Times New Roman"/>
          <w:kern w:val="0"/>
        </w:rPr>
        <w:commentReference w:id="97"/>
      </w:r>
    </w:p>
    <w:p w14:paraId="6E3557A3" w14:textId="77777777" w:rsidR="00CC7DFD" w:rsidRDefault="00CC7DFD" w:rsidP="00E968AA">
      <w:pPr>
        <w:pStyle w:val="Heading2-terminology"/>
      </w:pPr>
      <w:commentRangeStart w:id="98"/>
      <w:r>
        <w:t>Disclosure</w:t>
      </w:r>
      <w:commentRangeEnd w:id="98"/>
      <w:r w:rsidR="007461D1">
        <w:rPr>
          <w:rStyle w:val="CommentReference"/>
          <w:rFonts w:eastAsia="Times New Roman"/>
          <w:b w:val="0"/>
          <w:kern w:val="0"/>
        </w:rPr>
        <w:commentReference w:id="98"/>
      </w:r>
    </w:p>
    <w:p w14:paraId="0F7003ED" w14:textId="75810F00"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by a PII Controller or a PII Processor acting on their behalf, of PII and accountability for that PII 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77777777"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w:t>
      </w:r>
      <w:commentRangeStart w:id="99"/>
      <w:r w:rsidRPr="00CC7DFD">
        <w:t>SOURCE: ISO 29100]</w:t>
      </w:r>
      <w:commentRangeEnd w:id="99"/>
      <w:r w:rsidR="007461D1">
        <w:rPr>
          <w:rStyle w:val="CommentReference"/>
          <w:rFonts w:eastAsia="Times New Roman"/>
          <w:kern w:val="0"/>
        </w:rPr>
        <w:commentReference w:id="99"/>
      </w:r>
    </w:p>
    <w:p w14:paraId="60A57D0B" w14:textId="77777777" w:rsidR="00CC7DFD" w:rsidRDefault="00CC7DFD" w:rsidP="00E968AA">
      <w:pPr>
        <w:pStyle w:val="Heading2-terminology"/>
      </w:pPr>
      <w:r>
        <w:t>Consent Receipt</w:t>
      </w:r>
    </w:p>
    <w:p w14:paraId="47BB0455" w14:textId="77777777" w:rsidR="00CC7DFD" w:rsidRDefault="00CC7DFD" w:rsidP="00153857">
      <w:pPr>
        <w:pStyle w:val="BodyTextH2"/>
        <w:ind w:left="0"/>
      </w:pPr>
      <w:r w:rsidRPr="00CC7DFD">
        <w:t xml:space="preserve">A record of </w:t>
      </w:r>
      <w:r w:rsidR="00D52728">
        <w:t xml:space="preserve">the </w:t>
      </w:r>
      <w:r w:rsidRPr="00CC7DFD">
        <w:t xml:space="preserve">consent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commentRangeStart w:id="100"/>
      <w:r w:rsidR="00393946" w:rsidRPr="005861E4">
        <w:rPr>
          <w:noProof/>
        </w:rPr>
        <w:t>type</w:t>
      </w:r>
      <w:r w:rsidR="00393946">
        <w:t xml:space="preserve"> </w:t>
      </w:r>
      <w:r>
        <w:t xml:space="preserve">of the consent </w:t>
      </w:r>
      <w:commentRangeEnd w:id="100"/>
      <w:r w:rsidR="00C816AA">
        <w:rPr>
          <w:rStyle w:val="CommentReference"/>
          <w:rFonts w:eastAsia="Times New Roman"/>
          <w:kern w:val="0"/>
        </w:rPr>
        <w:commentReference w:id="100"/>
      </w:r>
      <w:r>
        <w:t xml:space="preserve">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101" w:name="_Toc463268822"/>
      <w:bookmarkEnd w:id="101"/>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w:t>
      </w:r>
      <w:commentRangeStart w:id="102"/>
      <w:r w:rsidRPr="00790143">
        <w:t xml:space="preserve">prior notice </w:t>
      </w:r>
      <w:commentRangeEnd w:id="102"/>
      <w:r w:rsidR="00C816AA">
        <w:rPr>
          <w:rStyle w:val="CommentReference"/>
          <w:rFonts w:eastAsia="Times New Roman"/>
          <w:kern w:val="0"/>
        </w:rPr>
        <w:commentReference w:id="102"/>
      </w:r>
      <w:r w:rsidRPr="00790143">
        <w:t xml:space="preserve">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lastRenderedPageBreak/>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commentRangeStart w:id="103"/>
      <w:r>
        <w:t xml:space="preserve">The PII Controller has a reasonable expectation to believe that consent already exists for the collection of the PII. </w:t>
      </w:r>
      <w:commentRangeEnd w:id="103"/>
      <w:r w:rsidR="00C816AA">
        <w:rPr>
          <w:rStyle w:val="CommentReference"/>
          <w:rFonts w:eastAsia="Times New Roman"/>
          <w:kern w:val="0"/>
        </w:rPr>
        <w:commentReference w:id="103"/>
      </w:r>
    </w:p>
    <w:p w14:paraId="487C0601" w14:textId="77777777" w:rsidR="009C65AF" w:rsidRDefault="009C65AF" w:rsidP="00E968AA">
      <w:pPr>
        <w:pStyle w:val="Heading2-terminology"/>
      </w:pPr>
      <w:bookmarkStart w:id="104" w:name="_Toc463268832"/>
      <w:bookmarkEnd w:id="104"/>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w:t>
      </w:r>
      <w:proofErr w:type="gramStart"/>
      <w:r>
        <w:t>particular purpose</w:t>
      </w:r>
      <w:proofErr w:type="gramEnd"/>
      <w:r>
        <w:t xml:space="preserv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t>
      </w:r>
      <w:commentRangeStart w:id="105"/>
      <w:r>
        <w:t xml:space="preserve">withhold or withdraw </w:t>
      </w:r>
      <w:r w:rsidRPr="008B2618">
        <w:rPr>
          <w:noProof/>
        </w:rPr>
        <w:t>consent</w:t>
      </w:r>
      <w:commentRangeEnd w:id="105"/>
      <w:r w:rsidR="00C816AA">
        <w:rPr>
          <w:rStyle w:val="CommentReference"/>
          <w:rFonts w:eastAsia="Times New Roman"/>
          <w:kern w:val="0"/>
        </w:rPr>
        <w:commentReference w:id="105"/>
      </w:r>
      <w:r w:rsidRPr="008B2618">
        <w:rPr>
          <w:noProof/>
        </w:rPr>
        <w: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commentRangeStart w:id="106"/>
      <w:r>
        <w:t>Privacy Statement</w:t>
      </w:r>
      <w:commentRangeEnd w:id="106"/>
      <w:r w:rsidR="00C816AA">
        <w:rPr>
          <w:rStyle w:val="CommentReference"/>
          <w:rFonts w:eastAsia="Times New Roman"/>
          <w:b w:val="0"/>
          <w:kern w:val="0"/>
        </w:rPr>
        <w:commentReference w:id="106"/>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proofErr w:type="gramStart"/>
      <w:r>
        <w:t>Personally</w:t>
      </w:r>
      <w:proofErr w:type="gramEnd"/>
      <w:r>
        <w:t xml:space="preserve">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t>
      </w:r>
      <w:proofErr w:type="gramStart"/>
      <w:r>
        <w:t>whether or not</w:t>
      </w:r>
      <w:proofErr w:type="gramEnd"/>
      <w:r>
        <w:t xml:space="preserve"> an individual should be considered identifiable, several factors need to </w:t>
      </w:r>
      <w:r w:rsidRPr="00EA7163">
        <w:rPr>
          <w:noProof/>
        </w:rPr>
        <w:t>be taken</w:t>
      </w:r>
      <w:r>
        <w:t xml:space="preserve"> into </w:t>
      </w:r>
      <w:commentRangeStart w:id="107"/>
      <w:r>
        <w:t>account</w:t>
      </w:r>
      <w:commentRangeEnd w:id="107"/>
      <w:r w:rsidR="00C816AA">
        <w:rPr>
          <w:rStyle w:val="CommentReference"/>
          <w:rFonts w:eastAsia="Times New Roman"/>
          <w:kern w:val="0"/>
        </w:rPr>
        <w:commentReference w:id="107"/>
      </w:r>
      <w:r>
        <w:t xml:space="preserve">. </w:t>
      </w:r>
    </w:p>
    <w:p w14:paraId="6FB00F67" w14:textId="77777777" w:rsidR="009C65AF" w:rsidRDefault="00484DD2" w:rsidP="00153857">
      <w:pPr>
        <w:pStyle w:val="BodyTextH2"/>
        <w:ind w:left="0"/>
      </w:pPr>
      <w:r>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w:t>
      </w:r>
      <w:commentRangeStart w:id="108"/>
      <w:r>
        <w:t xml:space="preserve">privacy stakeholder </w:t>
      </w:r>
      <w:commentRangeEnd w:id="108"/>
      <w:r w:rsidR="00C816AA">
        <w:rPr>
          <w:rStyle w:val="CommentReference"/>
          <w:rFonts w:eastAsia="Times New Roman"/>
          <w:kern w:val="0"/>
        </w:rPr>
        <w:commentReference w:id="108"/>
      </w:r>
      <w:r>
        <w:t xml:space="preserve">(or privacy stakeholders) that determines the purposes and means </w:t>
      </w:r>
      <w:r w:rsidRPr="00864981">
        <w:rPr>
          <w:noProof/>
        </w:rPr>
        <w:t>for</w:t>
      </w:r>
      <w:r>
        <w:t xml:space="preserve"> processing personally identifiable information (PII) other than </w:t>
      </w:r>
      <w:commentRangeStart w:id="109"/>
      <w:r>
        <w:t xml:space="preserve">natural persons </w:t>
      </w:r>
      <w:commentRangeEnd w:id="109"/>
      <w:r w:rsidR="00C816AA">
        <w:rPr>
          <w:rStyle w:val="CommentReference"/>
          <w:rFonts w:eastAsia="Times New Roman"/>
          <w:kern w:val="0"/>
        </w:rPr>
        <w:commentReference w:id="109"/>
      </w:r>
      <w:r>
        <w:t xml:space="preserve">who use data for personal </w:t>
      </w:r>
      <w:commentRangeStart w:id="110"/>
      <w:r>
        <w:t>purposes</w:t>
      </w:r>
      <w:commentRangeEnd w:id="110"/>
      <w:r w:rsidR="00C816AA">
        <w:rPr>
          <w:rStyle w:val="CommentReference"/>
          <w:rFonts w:eastAsia="Times New Roman"/>
          <w:kern w:val="0"/>
        </w:rPr>
        <w:commentReference w:id="110"/>
      </w:r>
      <w:r>
        <w:t xml:space="preserve">. </w:t>
      </w:r>
    </w:p>
    <w:p w14:paraId="64B271DA" w14:textId="77777777" w:rsidR="009C65AF" w:rsidRDefault="009C65AF" w:rsidP="00153857">
      <w:pPr>
        <w:pStyle w:val="BodyTextH2"/>
        <w:ind w:left="0"/>
      </w:pPr>
      <w:r>
        <w:lastRenderedPageBreak/>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commentRangeStart w:id="111"/>
      <w:r>
        <w:t>Note: may also be called data controller</w:t>
      </w:r>
      <w:commentRangeEnd w:id="111"/>
      <w:r w:rsidR="00C816AA">
        <w:rPr>
          <w:rStyle w:val="CommentReference"/>
          <w:rFonts w:eastAsia="Times New Roman"/>
          <w:kern w:val="0"/>
        </w:rPr>
        <w:commentReference w:id="111"/>
      </w:r>
      <w:r>
        <w:t xml:space="preserve">. </w:t>
      </w:r>
    </w:p>
    <w:p w14:paraId="797D9E54" w14:textId="77777777" w:rsidR="009C65AF" w:rsidRDefault="009C65AF" w:rsidP="00E968AA">
      <w:pPr>
        <w:pStyle w:val="Heading2-terminology"/>
      </w:pPr>
      <w:commentRangeStart w:id="112"/>
      <w:r>
        <w:t>PII Principal</w:t>
      </w:r>
      <w:commentRangeEnd w:id="112"/>
      <w:r w:rsidR="00C816AA">
        <w:rPr>
          <w:rStyle w:val="CommentReference"/>
          <w:rFonts w:eastAsia="Times New Roman"/>
          <w:b w:val="0"/>
          <w:kern w:val="0"/>
        </w:rPr>
        <w:commentReference w:id="112"/>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w:t>
      </w:r>
      <w:proofErr w:type="gramStart"/>
      <w:r>
        <w:t>particular data</w:t>
      </w:r>
      <w:proofErr w:type="gramEnd"/>
      <w:r>
        <w:t xml:space="preserve">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w:t>
      </w:r>
      <w:proofErr w:type="spellStart"/>
      <w:r>
        <w:t>pseudonymization</w:t>
      </w:r>
      <w:proofErr w:type="spellEnd"/>
      <w:r>
        <w:t xml:space="preserve">, dissemination or otherwise making available, deletion or destruction of PII. </w:t>
      </w:r>
    </w:p>
    <w:p w14:paraId="238EC908" w14:textId="77777777" w:rsidR="009C65AF" w:rsidRDefault="009C65AF" w:rsidP="00153857">
      <w:pPr>
        <w:pStyle w:val="BodyTextH2"/>
        <w:ind w:left="0"/>
      </w:pPr>
      <w:r>
        <w:t>[SOURCE: ISO 29100]</w:t>
      </w:r>
    </w:p>
    <w:p w14:paraId="37C2EE61" w14:textId="77777777" w:rsidR="009C65AF" w:rsidRDefault="009C65AF" w:rsidP="00E968AA">
      <w:pPr>
        <w:pStyle w:val="Heading2-terminology"/>
      </w:pPr>
      <w:r>
        <w:t>Purpose</w:t>
      </w:r>
    </w:p>
    <w:p w14:paraId="4C3FDB1A" w14:textId="77777777"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Subject's 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commentRangeStart w:id="113"/>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commentRangeEnd w:id="113"/>
      <w:r w:rsidR="00054F1A">
        <w:rPr>
          <w:rStyle w:val="CommentReference"/>
          <w:rFonts w:eastAsia="Times New Roman"/>
          <w:kern w:val="0"/>
        </w:rPr>
        <w:commentReference w:id="113"/>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lastRenderedPageBreak/>
        <w:t>Sensitive PI</w:t>
      </w:r>
      <w:r w:rsidR="00AE2F2E">
        <w:t>I</w:t>
      </w:r>
    </w:p>
    <w:p w14:paraId="77D164F8" w14:textId="77777777" w:rsidR="009D31F8" w:rsidRDefault="009D31F8" w:rsidP="009D31F8">
      <w:pPr>
        <w:pStyle w:val="BodyTextH2"/>
        <w:ind w:left="0"/>
      </w:pPr>
      <w:r>
        <w:t xml:space="preserve">Sensitive Categories of personal information, either whose nature is sensitive, such as those that relate to the PII principal’s most intimate sphere, or that might have a significant impact on the PII principal. These categories are those related to </w:t>
      </w:r>
      <w:r w:rsidRPr="00864981">
        <w:rPr>
          <w:noProof/>
        </w:rPr>
        <w:t>racial</w:t>
      </w:r>
      <w:r>
        <w:t xml:space="preserve"> origin, political opinions or religious or other beliefs, personal data on health, sex life or criminal convictions and </w:t>
      </w:r>
      <w:commentRangeStart w:id="114"/>
      <w:r>
        <w:t xml:space="preserve">require </w:t>
      </w:r>
      <w:r w:rsidRPr="00864981">
        <w:rPr>
          <w:noProof/>
        </w:rPr>
        <w:t>opt-in informed</w:t>
      </w:r>
      <w:r>
        <w:t xml:space="preserve"> consent.</w:t>
      </w:r>
      <w:commentRangeEnd w:id="114"/>
      <w:r w:rsidR="00054F1A">
        <w:rPr>
          <w:rStyle w:val="CommentReference"/>
          <w:rFonts w:eastAsia="Times New Roman"/>
          <w:kern w:val="0"/>
        </w:rPr>
        <w:commentReference w:id="114"/>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15" w:name="_Toc464682492"/>
      <w:bookmarkStart w:id="116" w:name="_Toc464682791"/>
      <w:bookmarkStart w:id="117" w:name="_Toc478312775"/>
      <w:bookmarkEnd w:id="115"/>
      <w:bookmarkEnd w:id="116"/>
      <w:r>
        <w:lastRenderedPageBreak/>
        <w:t>Consent Receipt</w:t>
      </w:r>
      <w:bookmarkEnd w:id="117"/>
    </w:p>
    <w:p w14:paraId="4559B8AD" w14:textId="77777777" w:rsidR="00913FF5" w:rsidRPr="00563FC8" w:rsidRDefault="00790143" w:rsidP="00E968AA">
      <w:pPr>
        <w:pStyle w:val="Heading2"/>
      </w:pPr>
      <w:bookmarkStart w:id="118" w:name="_Toc464682495"/>
      <w:bookmarkStart w:id="119" w:name="_Toc464682794"/>
      <w:bookmarkStart w:id="120" w:name="_Toc478312776"/>
      <w:bookmarkEnd w:id="118"/>
      <w:bookmarkEnd w:id="119"/>
      <w:r>
        <w:t>Contents of receipt</w:t>
      </w:r>
      <w:bookmarkStart w:id="121" w:name="_Toc463268849"/>
      <w:bookmarkStart w:id="122" w:name="_Toc463268960"/>
      <w:bookmarkStart w:id="123" w:name="_Toc463269069"/>
      <w:bookmarkStart w:id="124" w:name="_Toc463269178"/>
      <w:bookmarkEnd w:id="120"/>
      <w:bookmarkEnd w:id="121"/>
      <w:bookmarkEnd w:id="122"/>
      <w:bookmarkEnd w:id="123"/>
      <w:bookmarkEnd w:id="12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77777777" w:rsidR="00C53AF7" w:rsidRPr="00A11332" w:rsidRDefault="00C53AF7" w:rsidP="002F5C47">
            <w:pPr>
              <w:pStyle w:val="BodyTextH3"/>
              <w:rPr>
                <w:sz w:val="18"/>
              </w:rPr>
            </w:pPr>
            <w:r w:rsidRPr="00A11332">
              <w:rPr>
                <w:sz w:val="18"/>
              </w:rPr>
              <w:t xml:space="preserve">The version of this specification a receipt </w:t>
            </w:r>
            <w:r w:rsidRPr="00A11332">
              <w:rPr>
                <w:noProof/>
                <w:sz w:val="18"/>
              </w:rPr>
              <w:t>conforms to</w:t>
            </w:r>
            <w:r w:rsidRPr="00A11332">
              <w:rPr>
                <w:sz w:val="18"/>
              </w:rPr>
              <w:t>.</w:t>
            </w:r>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77777777" w:rsidR="00C53AF7" w:rsidRPr="00A11332" w:rsidRDefault="00C53AF7" w:rsidP="002F5C47">
            <w:pPr>
              <w:pStyle w:val="BodyTextH3"/>
              <w:rPr>
                <w:sz w:val="18"/>
              </w:rPr>
            </w:pPr>
            <w:r w:rsidRPr="00A11332">
              <w:rPr>
                <w:sz w:val="18"/>
              </w:rPr>
              <w:t xml:space="preserve">Date and time of the </w:t>
            </w:r>
            <w:commentRangeStart w:id="125"/>
            <w:r w:rsidRPr="00A11332">
              <w:rPr>
                <w:sz w:val="18"/>
              </w:rPr>
              <w:t>consent transaction</w:t>
            </w:r>
            <w:commentRangeEnd w:id="125"/>
            <w:r w:rsidR="00054F1A">
              <w:rPr>
                <w:rStyle w:val="CommentReference"/>
                <w:rFonts w:eastAsia="Times New Roman"/>
                <w:kern w:val="0"/>
              </w:rPr>
              <w:commentReference w:id="125"/>
            </w:r>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77777777" w:rsidR="00C53AF7" w:rsidRPr="00A11332" w:rsidRDefault="00C53AF7" w:rsidP="002F5C47">
            <w:pPr>
              <w:pStyle w:val="BodyTextH3"/>
              <w:rPr>
                <w:sz w:val="18"/>
              </w:rPr>
            </w:pPr>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77777777" w:rsidR="00C53AF7" w:rsidRPr="00A11332" w:rsidRDefault="00C53AF7" w:rsidP="002F5C47">
            <w:pPr>
              <w:pStyle w:val="BodyTextH3"/>
              <w:rPr>
                <w:noProof/>
                <w:sz w:val="18"/>
              </w:rPr>
            </w:pPr>
            <w:r w:rsidRPr="00A11332">
              <w:rPr>
                <w:sz w:val="18"/>
              </w:rPr>
              <w:t>PII Principal 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77777777" w:rsidR="00C53AF7" w:rsidRPr="00A11332" w:rsidRDefault="00C53AF7" w:rsidP="002F5C47">
            <w:pPr>
              <w:pStyle w:val="BodyTextH3"/>
              <w:rPr>
                <w:sz w:val="18"/>
              </w:rPr>
            </w:pPr>
            <w:r w:rsidRPr="00A11332">
              <w:rPr>
                <w:sz w:val="18"/>
              </w:rPr>
              <w:t xml:space="preserve">Name of the initial PII controller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w:t>
            </w:r>
            <w:proofErr w:type="spellStart"/>
            <w:r w:rsidRPr="00A11332">
              <w:rPr>
                <w:sz w:val="18"/>
              </w:rPr>
              <w:t>type(s</w:t>
            </w:r>
            <w:proofErr w:type="spellEnd"/>
            <w:r w:rsidRPr="00A11332">
              <w:rPr>
                <w:sz w:val="18"/>
              </w:rPr>
              <w:t xml:space="preserve">)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77777777" w:rsidR="00C53AF7" w:rsidRPr="00A11332" w:rsidRDefault="00C53AF7" w:rsidP="002F5C47">
            <w:pPr>
              <w:pStyle w:val="BodyTextH3"/>
              <w:rPr>
                <w:sz w:val="18"/>
              </w:rPr>
            </w:pPr>
            <w:r w:rsidRPr="00A11332">
              <w:rPr>
                <w:sz w:val="18"/>
              </w:rPr>
              <w:t xml:space="preserve">Acting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commentRangeStart w:id="126"/>
            <w:r w:rsidRPr="00A11332">
              <w:rPr>
                <w:sz w:val="18"/>
              </w:rPr>
              <w:t>For example, a third-party analytics service would be a PII Processor on behalf of the PII Controller, or a site operator acting on behalf of the PII Controller.</w:t>
            </w:r>
            <w:commentRangeEnd w:id="126"/>
            <w:r w:rsidR="00054F1A">
              <w:rPr>
                <w:rStyle w:val="CommentReference"/>
                <w:rFonts w:eastAsia="Times New Roman"/>
                <w:kern w:val="0"/>
              </w:rPr>
              <w:commentReference w:id="126"/>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77777777" w:rsidR="00C53AF7" w:rsidRPr="00A11332" w:rsidRDefault="00C53AF7" w:rsidP="002F5C47">
            <w:pPr>
              <w:pStyle w:val="BodyTextH3"/>
              <w:rPr>
                <w:sz w:val="18"/>
              </w:rPr>
            </w:pPr>
            <w:r w:rsidRPr="00A11332">
              <w:rPr>
                <w:sz w:val="18"/>
              </w:rPr>
              <w:t xml:space="preserve">Name </w:t>
            </w:r>
            <w:r w:rsidRPr="00A11332">
              <w:rPr>
                <w:noProof/>
                <w:sz w:val="18"/>
              </w:rPr>
              <w:t>and/or</w:t>
            </w:r>
            <w:r w:rsidRPr="00A11332">
              <w:rPr>
                <w:sz w:val="18"/>
              </w:rPr>
              <w:t xml:space="preserve"> title of the </w:t>
            </w:r>
            <w:commentRangeStart w:id="127"/>
            <w:r w:rsidRPr="00A11332">
              <w:rPr>
                <w:sz w:val="18"/>
              </w:rPr>
              <w:t>DPO.</w:t>
            </w:r>
            <w:commentRangeEnd w:id="127"/>
            <w:r w:rsidR="00054F1A">
              <w:rPr>
                <w:rStyle w:val="CommentReference"/>
                <w:rFonts w:eastAsia="Times New Roman"/>
                <w:kern w:val="0"/>
              </w:rPr>
              <w:commentReference w:id="127"/>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77777777" w:rsidR="00C53AF7" w:rsidRPr="00A11332" w:rsidRDefault="00C53AF7" w:rsidP="002F5C47">
            <w:pPr>
              <w:pStyle w:val="BodyTextH3"/>
              <w:rPr>
                <w:sz w:val="18"/>
              </w:rPr>
            </w:pPr>
            <w:r w:rsidRPr="00A11332">
              <w:rPr>
                <w:sz w:val="18"/>
              </w:rPr>
              <w:t xml:space="preserve">Address for contacting the </w:t>
            </w:r>
            <w:commentRangeStart w:id="128"/>
            <w:r w:rsidRPr="00A11332">
              <w:rPr>
                <w:sz w:val="18"/>
              </w:rPr>
              <w:t>DPO</w:t>
            </w:r>
            <w:commentRangeEnd w:id="128"/>
            <w:r w:rsidR="00054F1A">
              <w:rPr>
                <w:rStyle w:val="CommentReference"/>
                <w:rFonts w:eastAsia="Times New Roman"/>
                <w:kern w:val="0"/>
              </w:rPr>
              <w:commentReference w:id="128"/>
            </w:r>
            <w:r w:rsidRPr="00A11332">
              <w:rPr>
                <w:sz w:val="18"/>
              </w:rPr>
              <w:t xml:space="preserve"> in writing.</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77777777"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privacy contact.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77777777"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administrator.</w:t>
            </w:r>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commentRangeStart w:id="129"/>
            <w:r w:rsidRPr="00A11332">
              <w:rPr>
                <w:b/>
                <w:sz w:val="18"/>
              </w:rPr>
              <w:t>Privacy Policy</w:t>
            </w:r>
            <w:commentRangeEnd w:id="129"/>
            <w:r w:rsidR="00054F1A">
              <w:rPr>
                <w:rStyle w:val="CommentReference"/>
                <w:rFonts w:eastAsia="Times New Roman"/>
                <w:kern w:val="0"/>
              </w:rPr>
              <w:commentReference w:id="129"/>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commentRangeStart w:id="130"/>
        <w:tc>
          <w:tcPr>
            <w:tcW w:w="3870" w:type="dxa"/>
            <w:shd w:val="clear" w:color="auto" w:fill="auto"/>
          </w:tcPr>
          <w:p w14:paraId="5B70F3DA" w14:textId="77777777" w:rsidR="00AD6D0B" w:rsidRPr="00A11332" w:rsidRDefault="00B46EAA" w:rsidP="002F5C47">
            <w:pPr>
              <w:pStyle w:val="BodyTextH3"/>
              <w:rPr>
                <w:sz w:val="18"/>
              </w:rPr>
            </w:pPr>
            <w:r>
              <w:fldChar w:fldCharType="begin"/>
            </w:r>
            <w:r>
              <w:instrText xml:space="preserve"> HYPERLINK "http://kantarainitiative.org/confluence/display/infosharing/Appendix+CR+-+V.9.3+-+Example+Purpose+Categories" </w:instrText>
            </w:r>
            <w:r>
              <w:fldChar w:fldCharType="separate"/>
            </w:r>
            <w:r w:rsidR="00AD6D0B" w:rsidRPr="00A11332">
              <w:rPr>
                <w:rStyle w:val="Hyperlink"/>
                <w:sz w:val="18"/>
              </w:rPr>
              <w:t>Example Purpose Categories</w:t>
            </w:r>
            <w:r>
              <w:rPr>
                <w:rStyle w:val="Hyperlink"/>
                <w:sz w:val="18"/>
              </w:rPr>
              <w:fldChar w:fldCharType="end"/>
            </w:r>
            <w:r w:rsidR="00AD6D0B" w:rsidRPr="00A11332">
              <w:rPr>
                <w:sz w:val="18"/>
              </w:rPr>
              <w:t xml:space="preserve"> currently in use can are available on the </w:t>
            </w:r>
            <w:proofErr w:type="spellStart"/>
            <w:r w:rsidR="00AD6D0B" w:rsidRPr="00A11332">
              <w:rPr>
                <w:sz w:val="18"/>
              </w:rPr>
              <w:t>Kantara</w:t>
            </w:r>
            <w:proofErr w:type="spellEnd"/>
            <w:r w:rsidR="00AD6D0B" w:rsidRPr="00A11332">
              <w:rPr>
                <w:sz w:val="18"/>
              </w:rPr>
              <w:t xml:space="preserve"> Consent &amp; Information Sharing Work Group (CISWG) Wiki page (</w:t>
            </w:r>
            <w:hyperlink r:id="rId19" w:history="1">
              <w:r w:rsidR="00AD6D0B" w:rsidRPr="00A11332">
                <w:rPr>
                  <w:rStyle w:val="Hyperlink"/>
                  <w:sz w:val="18"/>
                </w:rPr>
                <w:t>http://kantarainitiative.org/confluence/display/infosharing/Appendix+CR+-+V.9.3+-+Example+Purpose+Categories</w:t>
              </w:r>
            </w:hyperlink>
            <w:r w:rsidR="00AD6D0B" w:rsidRPr="00A11332">
              <w:rPr>
                <w:sz w:val="18"/>
              </w:rPr>
              <w:t>)</w:t>
            </w:r>
            <w:commentRangeEnd w:id="130"/>
            <w:r w:rsidR="006D05EC">
              <w:rPr>
                <w:rStyle w:val="CommentReference"/>
                <w:rFonts w:eastAsia="Times New Roman"/>
                <w:kern w:val="0"/>
              </w:rPr>
              <w:commentReference w:id="130"/>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commentRangeStart w:id="131"/>
            <w:r w:rsidRPr="00A11332">
              <w:rPr>
                <w:noProof/>
                <w:sz w:val="18"/>
              </w:rPr>
              <w:t xml:space="preserve">The type of the consent used by the PII Controller as their authority to collect, use or disclose PII. </w:t>
            </w:r>
            <w:commentRangeEnd w:id="131"/>
            <w:r w:rsidR="006D05EC">
              <w:rPr>
                <w:rStyle w:val="CommentReference"/>
                <w:rFonts w:eastAsia="Times New Roman"/>
                <w:kern w:val="0"/>
              </w:rPr>
              <w:commentReference w:id="131"/>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commentRangeStart w:id="132"/>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w:t>
            </w:r>
            <w:proofErr w:type="gramStart"/>
            <w:r w:rsidRPr="00A11332">
              <w:rPr>
                <w:sz w:val="18"/>
              </w:rPr>
              <w:t>B</w:t>
            </w:r>
            <w:proofErr w:type="gramEnd"/>
            <w:r w:rsidRPr="00A11332">
              <w:rPr>
                <w:sz w:val="18"/>
              </w:rPr>
              <w:t xml:space="preserve"> there is an example of a defined list as supplied by a PII Controller.</w:t>
            </w:r>
            <w:commentRangeEnd w:id="132"/>
            <w:r w:rsidR="006D05EC">
              <w:rPr>
                <w:rStyle w:val="CommentReference"/>
                <w:rFonts w:eastAsia="Times New Roman"/>
                <w:kern w:val="0"/>
              </w:rPr>
              <w:commentReference w:id="132"/>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commentRangeStart w:id="133"/>
            <w:r w:rsidRPr="00A11332">
              <w:rPr>
                <w:sz w:val="18"/>
              </w:rPr>
              <w:t xml:space="preserve">Indicates if a purpose is part of the core service of the PII Controller. </w:t>
            </w:r>
            <w:commentRangeEnd w:id="133"/>
            <w:r w:rsidR="006D05EC">
              <w:rPr>
                <w:rStyle w:val="CommentReference"/>
                <w:rFonts w:eastAsia="Times New Roman"/>
                <w:kern w:val="0"/>
              </w:rPr>
              <w:commentReference w:id="133"/>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commentRangeStart w:id="134"/>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commentRangeEnd w:id="134"/>
            <w:r w:rsidR="006D05EC">
              <w:rPr>
                <w:rStyle w:val="CommentReference"/>
                <w:rFonts w:eastAsia="Times New Roman"/>
                <w:kern w:val="0"/>
              </w:rPr>
              <w:commentReference w:id="134"/>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commentRangeStart w:id="135"/>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commentRangeEnd w:id="135"/>
            <w:r w:rsidR="006D05EC">
              <w:rPr>
                <w:rStyle w:val="CommentReference"/>
                <w:rFonts w:eastAsia="Times New Roman"/>
                <w:kern w:val="0"/>
              </w:rPr>
              <w:commentReference w:id="135"/>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77777777" w:rsidR="00AD6D0B" w:rsidRPr="00A11332" w:rsidRDefault="00AD6D0B" w:rsidP="002F5C47">
            <w:pPr>
              <w:pStyle w:val="BodyTextH3"/>
              <w:rPr>
                <w:sz w:val="18"/>
              </w:rPr>
            </w:pPr>
            <w:r w:rsidRPr="00A11332">
              <w:rPr>
                <w:sz w:val="18"/>
              </w:rPr>
              <w:t xml:space="preserve">Indicates whether PII is 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36"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w:t>
            </w:r>
            <w:commentRangeStart w:id="137"/>
            <w:r w:rsidRPr="00A11332">
              <w:rPr>
                <w:sz w:val="18"/>
              </w:rPr>
              <w:t xml:space="preserve">policy information out-of-band of the Consent Receipt. </w:t>
            </w:r>
            <w:bookmarkEnd w:id="136"/>
            <w:commentRangeEnd w:id="137"/>
            <w:r w:rsidR="00707C25">
              <w:rPr>
                <w:rStyle w:val="CommentReference"/>
                <w:rFonts w:eastAsia="Times New Roman"/>
                <w:kern w:val="0"/>
              </w:rPr>
              <w:commentReference w:id="137"/>
            </w:r>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77777777" w:rsidR="003F2172" w:rsidRDefault="003F2172">
      <w:pPr>
        <w:pStyle w:val="Caption"/>
      </w:pPr>
      <w:bookmarkStart w:id="138" w:name="_Ref476767257"/>
      <w:r>
        <w:t xml:space="preserve">Table </w:t>
      </w:r>
      <w:fldSimple w:instr=" SEQ Table \* ARABIC ">
        <w:r w:rsidR="00991F51">
          <w:rPr>
            <w:noProof/>
          </w:rPr>
          <w:t>1</w:t>
        </w:r>
      </w:fldSimple>
      <w:bookmarkEnd w:id="138"/>
      <w:r>
        <w:t>: Consent receipt fields</w:t>
      </w:r>
    </w:p>
    <w:p w14:paraId="2FCB8835" w14:textId="77777777" w:rsidR="00790143" w:rsidRDefault="00790143" w:rsidP="00EE624A">
      <w:pPr>
        <w:pStyle w:val="Heading2"/>
      </w:pPr>
      <w:bookmarkStart w:id="139" w:name="_Toc478312777"/>
      <w:r>
        <w:t>Presentation and Delivery</w:t>
      </w:r>
      <w:bookmarkEnd w:id="139"/>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40" w:name="_Toc463268858"/>
      <w:bookmarkStart w:id="141" w:name="_Toc463268969"/>
      <w:bookmarkStart w:id="142" w:name="_Toc463269078"/>
      <w:bookmarkStart w:id="143" w:name="_Toc463269187"/>
      <w:bookmarkStart w:id="144" w:name="_Toc478312778"/>
      <w:bookmarkEnd w:id="140"/>
      <w:bookmarkEnd w:id="141"/>
      <w:bookmarkEnd w:id="142"/>
      <w:bookmarkEnd w:id="143"/>
      <w:r>
        <w:lastRenderedPageBreak/>
        <w:t xml:space="preserve">Consent Receipt </w:t>
      </w:r>
      <w:r w:rsidR="000C2407">
        <w:t xml:space="preserve">- </w:t>
      </w:r>
      <w:r>
        <w:t>JSON</w:t>
      </w:r>
      <w:bookmarkEnd w:id="144"/>
    </w:p>
    <w:p w14:paraId="390D0725" w14:textId="77777777" w:rsidR="00773CA1" w:rsidRDefault="0015119E" w:rsidP="00E968AA">
      <w:pPr>
        <w:pStyle w:val="Heading2"/>
      </w:pPr>
      <w:bookmarkStart w:id="145" w:name="_Toc478312779"/>
      <w:r>
        <w:t>JSON Fields</w:t>
      </w:r>
      <w:bookmarkEnd w:id="145"/>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consentTimestamp</w:t>
            </w:r>
            <w:proofErr w:type="spellEnd"/>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collectionMethod</w:t>
            </w:r>
            <w:proofErr w:type="spellEnd"/>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publicKey</w:t>
            </w:r>
            <w:proofErr w:type="spellEnd"/>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dataController</w:t>
            </w:r>
            <w:proofErr w:type="spellEnd"/>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proofErr w:type="spellStart"/>
            <w:r w:rsidRPr="00EE624A">
              <w:rPr>
                <w:rFonts w:ascii="Courier New" w:hAnsi="Courier New" w:cs="Courier New"/>
                <w:sz w:val="20"/>
                <w:szCs w:val="20"/>
              </w:rPr>
              <w:t>onBehalf</w:t>
            </w:r>
            <w:proofErr w:type="spellEnd"/>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B46EAA" w:rsidP="00B57D07">
            <w:pPr>
              <w:pStyle w:val="Normal10"/>
              <w:spacing w:after="240"/>
              <w:rPr>
                <w:sz w:val="20"/>
              </w:rPr>
            </w:pPr>
            <w:hyperlink r:id="rId20"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1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policyUrl</w:t>
            </w:r>
            <w:proofErr w:type="spellEnd"/>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lastRenderedPageBreak/>
              <w:t>serviceName</w:t>
            </w:r>
            <w:proofErr w:type="spellEnd"/>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purposeCategory</w:t>
            </w:r>
            <w:proofErr w:type="spellEnd"/>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consentType</w:t>
            </w:r>
            <w:proofErr w:type="spellEnd"/>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piiCategory</w:t>
            </w:r>
            <w:proofErr w:type="spellEnd"/>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proofErr w:type="spellStart"/>
            <w:r>
              <w:rPr>
                <w:rFonts w:ascii="Courier New" w:hAnsi="Courier New" w:cs="Courier New"/>
                <w:sz w:val="20"/>
                <w:szCs w:val="20"/>
              </w:rPr>
              <w:t>primary</w:t>
            </w:r>
            <w:r w:rsidR="00B57D07" w:rsidRPr="00EE624A">
              <w:rPr>
                <w:rFonts w:ascii="Courier New" w:hAnsi="Courier New" w:cs="Courier New"/>
                <w:sz w:val="20"/>
                <w:szCs w:val="20"/>
              </w:rPr>
              <w:t>Purpose</w:t>
            </w:r>
            <w:proofErr w:type="spellEnd"/>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thirdPartyDisclosure</w:t>
            </w:r>
            <w:proofErr w:type="spellEnd"/>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thirdPartyName</w:t>
            </w:r>
            <w:proofErr w:type="spellEnd"/>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spiCat</w:t>
            </w:r>
            <w:proofErr w:type="spellEnd"/>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146" w:name="h.vh3zh1cknyjh" w:colFirst="0" w:colLast="0"/>
      <w:bookmarkStart w:id="147" w:name="h.9dgk8zt1hkol" w:colFirst="0" w:colLast="0"/>
      <w:bookmarkStart w:id="148" w:name="h.gggpr7isqv7t" w:colFirst="0" w:colLast="0"/>
      <w:bookmarkStart w:id="149" w:name="h.gjksfxlq93il" w:colFirst="0" w:colLast="0"/>
      <w:bookmarkStart w:id="150" w:name="h.dqy08bik76ej" w:colFirst="0" w:colLast="0"/>
      <w:bookmarkStart w:id="151" w:name="h.2yif71ask74a" w:colFirst="0" w:colLast="0"/>
      <w:bookmarkStart w:id="152" w:name="h.imn0d5iw8c11" w:colFirst="0" w:colLast="0"/>
      <w:bookmarkStart w:id="153" w:name="h.jldkoahlgtzh" w:colFirst="0" w:colLast="0"/>
      <w:bookmarkStart w:id="154" w:name="h.qlkqttsm1npk" w:colFirst="0" w:colLast="0"/>
      <w:bookmarkStart w:id="155" w:name="h.z4j7zs7qn3no" w:colFirst="0" w:colLast="0"/>
      <w:bookmarkStart w:id="156" w:name="h.xq0moqi4goyx" w:colFirst="0" w:colLast="0"/>
      <w:bookmarkStart w:id="157" w:name="h.q6cgphsq5c8q" w:colFirst="0" w:colLast="0"/>
      <w:bookmarkStart w:id="158" w:name="h.6yll1564gjm9" w:colFirst="0" w:colLast="0"/>
      <w:bookmarkStart w:id="159" w:name="h.3dkeip5xsv7z" w:colFirst="0" w:colLast="0"/>
      <w:bookmarkStart w:id="160" w:name="h.zda26dhzqlqi" w:colFirst="0" w:colLast="0"/>
      <w:bookmarkStart w:id="161" w:name="h.1wz8cl1bl71r" w:colFirst="0" w:colLast="0"/>
      <w:bookmarkStart w:id="162" w:name="h.euwa2rup8a4q" w:colFirst="0" w:colLast="0"/>
      <w:bookmarkStart w:id="163" w:name="h.6hd1lw7wtkev" w:colFirst="0" w:colLast="0"/>
      <w:bookmarkStart w:id="164" w:name="h.u8jxmxomox07" w:colFirst="0" w:colLast="0"/>
      <w:bookmarkStart w:id="165" w:name="h.9gi0fxlhrrav" w:colFirst="0" w:colLast="0"/>
      <w:bookmarkStart w:id="166" w:name="_Ref466028298"/>
      <w:bookmarkStart w:id="167" w:name="_Ref466028309"/>
      <w:bookmarkStart w:id="168" w:name="_Ref46602835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Table </w:t>
      </w:r>
      <w:fldSimple w:instr=" SEQ Table \* ARABIC ">
        <w:r w:rsidR="00991F51">
          <w:rPr>
            <w:noProof/>
          </w:rPr>
          <w:t>2</w:t>
        </w:r>
      </w:fldSimple>
      <w:r>
        <w:t>: Consent receipt JSON fields</w:t>
      </w:r>
    </w:p>
    <w:p w14:paraId="202017D1" w14:textId="77777777" w:rsidR="00773CA1" w:rsidRDefault="00DB5014" w:rsidP="00E968AA">
      <w:pPr>
        <w:pStyle w:val="Heading2"/>
      </w:pPr>
      <w:r>
        <w:br w:type="page"/>
      </w:r>
      <w:bookmarkStart w:id="169" w:name="_Ref468948161"/>
      <w:bookmarkStart w:id="170" w:name="_Toc478312780"/>
      <w:r w:rsidR="0015119E">
        <w:lastRenderedPageBreak/>
        <w:t>JSON Schema</w:t>
      </w:r>
      <w:bookmarkEnd w:id="166"/>
      <w:bookmarkEnd w:id="167"/>
      <w:bookmarkEnd w:id="168"/>
      <w:bookmarkEnd w:id="169"/>
      <w:bookmarkEnd w:id="170"/>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171" w:name="_Toc466036717"/>
      <w:bookmarkStart w:id="172" w:name="_Toc466036736"/>
      <w:bookmarkStart w:id="173" w:name="_Toc466036771"/>
      <w:bookmarkStart w:id="174" w:name="h.5ux5tb8jdryv" w:colFirst="0" w:colLast="0"/>
      <w:bookmarkStart w:id="175" w:name="h.pqjx6vz2if0u" w:colFirst="0" w:colLast="0"/>
      <w:bookmarkStart w:id="176" w:name="h.n52bxpyiqq55" w:colFirst="0" w:colLast="0"/>
      <w:bookmarkStart w:id="177" w:name="_Toc478312781"/>
      <w:bookmarkEnd w:id="171"/>
      <w:bookmarkEnd w:id="172"/>
      <w:bookmarkEnd w:id="173"/>
      <w:bookmarkEnd w:id="174"/>
      <w:bookmarkEnd w:id="175"/>
      <w:bookmarkEnd w:id="176"/>
      <w:r>
        <w:lastRenderedPageBreak/>
        <w:t>Conformance</w:t>
      </w:r>
      <w:bookmarkEnd w:id="177"/>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178" w:name="_Toc478312782"/>
      <w:r>
        <w:lastRenderedPageBreak/>
        <w:t>Considerations</w:t>
      </w:r>
      <w:r w:rsidR="00E71CD3">
        <w:t xml:space="preserve"> (</w:t>
      </w:r>
      <w:r w:rsidR="00BD4DDC">
        <w:rPr>
          <w:caps w:val="0"/>
        </w:rPr>
        <w:t>non-normative</w:t>
      </w:r>
      <w:r w:rsidR="00E71CD3">
        <w:t>)</w:t>
      </w:r>
      <w:bookmarkEnd w:id="178"/>
    </w:p>
    <w:p w14:paraId="76D3BCBB" w14:textId="77777777" w:rsidR="00153857" w:rsidRDefault="00153857" w:rsidP="00153857">
      <w:pPr>
        <w:pStyle w:val="BodyText"/>
      </w:pPr>
      <w:commentRangeStart w:id="179"/>
      <w:r>
        <w:t>Consent is how people regulate privacy</w:t>
      </w:r>
      <w:commentRangeEnd w:id="179"/>
      <w:r w:rsidR="002E2211">
        <w:rPr>
          <w:rStyle w:val="CommentReference"/>
          <w:rFonts w:eastAsia="Times New Roman"/>
          <w:kern w:val="0"/>
        </w:rPr>
        <w:commentReference w:id="179"/>
      </w:r>
      <w:r>
        <w:t xml:space="preserve">.  As a </w:t>
      </w:r>
      <w:commentRangeStart w:id="180"/>
      <w:r>
        <w:t>social control</w:t>
      </w:r>
      <w:commentRangeEnd w:id="180"/>
      <w:r w:rsidR="003059C3">
        <w:rPr>
          <w:rStyle w:val="CommentReference"/>
          <w:rFonts w:eastAsia="Times New Roman"/>
          <w:kern w:val="0"/>
        </w:rPr>
        <w:commentReference w:id="180"/>
      </w:r>
      <w:r>
        <w:t xml:space="preserve">, consent is the signal people provide when they share personal information that is </w:t>
      </w:r>
      <w:r w:rsidRPr="008D3B98">
        <w:rPr>
          <w:noProof/>
        </w:rPr>
        <w:t>specific</w:t>
      </w:r>
      <w:r>
        <w:t xml:space="preserve"> to a </w:t>
      </w:r>
      <w:proofErr w:type="gramStart"/>
      <w:r>
        <w:t>particular context</w:t>
      </w:r>
      <w:proofErr w:type="gramEnd"/>
      <w:r>
        <w:t xml:space="preserve">. When broken down, the </w:t>
      </w:r>
      <w:commentRangeStart w:id="181"/>
      <w:r>
        <w:t>nature of consent for human communication and signaling</w:t>
      </w:r>
      <w:commentRangeEnd w:id="181"/>
      <w:r w:rsidR="003059C3">
        <w:rPr>
          <w:rStyle w:val="CommentReference"/>
          <w:rFonts w:eastAsia="Times New Roman"/>
          <w:kern w:val="0"/>
        </w:rPr>
        <w:commentReference w:id="181"/>
      </w:r>
      <w:r>
        <w:t xml:space="preserve">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w:t>
      </w:r>
      <w:commentRangeStart w:id="182"/>
      <w:r>
        <w:t>collection disclosure and use of PII consent by the organizations.</w:t>
      </w:r>
      <w:commentRangeEnd w:id="182"/>
      <w:r w:rsidR="003059C3">
        <w:rPr>
          <w:rStyle w:val="CommentReference"/>
          <w:rFonts w:eastAsia="Times New Roman"/>
          <w:kern w:val="0"/>
        </w:rPr>
        <w:commentReference w:id="182"/>
      </w:r>
    </w:p>
    <w:p w14:paraId="70836A7F" w14:textId="77777777" w:rsidR="00153857" w:rsidRDefault="00153857" w:rsidP="00E968AA">
      <w:pPr>
        <w:pStyle w:val="Heading2"/>
      </w:pPr>
      <w:bookmarkStart w:id="183" w:name="_Toc478312783"/>
      <w:r>
        <w:t>A Consent Receipt is PII</w:t>
      </w:r>
      <w:bookmarkEnd w:id="183"/>
    </w:p>
    <w:p w14:paraId="7C9976C8" w14:textId="77777777"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commentRangeStart w:id="184"/>
      <w:r w:rsidR="00745431">
        <w:t>service provider</w:t>
      </w:r>
      <w:r>
        <w:t xml:space="preserve"> to provide services</w:t>
      </w:r>
      <w:commentRangeEnd w:id="184"/>
      <w:r w:rsidR="003059C3">
        <w:rPr>
          <w:rStyle w:val="CommentReference"/>
          <w:rFonts w:eastAsia="Times New Roman"/>
          <w:kern w:val="0"/>
        </w:rPr>
        <w:commentReference w:id="184"/>
      </w:r>
      <w:r>
        <w:t>. A Consent Receipt links multiple data sources with an identifier, which when identified in a Conse</w:t>
      </w:r>
      <w:commentRangeStart w:id="185"/>
      <w:r>
        <w:t>nt Receipt constitutes PII</w:t>
      </w:r>
      <w:commentRangeEnd w:id="185"/>
      <w:r w:rsidR="003059C3">
        <w:rPr>
          <w:rStyle w:val="CommentReference"/>
          <w:rFonts w:eastAsia="Times New Roman"/>
          <w:kern w:val="0"/>
        </w:rPr>
        <w:commentReference w:id="185"/>
      </w:r>
      <w:r>
        <w:t>.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186" w:name="_Ref468864992"/>
      <w:bookmarkStart w:id="187" w:name="_Toc478312784"/>
      <w:r>
        <w:t xml:space="preserve">Sensitive PII: </w:t>
      </w:r>
      <w:commentRangeStart w:id="188"/>
      <w:r>
        <w:t>Liability &amp; Compliance</w:t>
      </w:r>
      <w:bookmarkEnd w:id="186"/>
      <w:bookmarkEnd w:id="187"/>
      <w:commentRangeEnd w:id="188"/>
      <w:r w:rsidR="003059C3">
        <w:rPr>
          <w:rStyle w:val="CommentReference"/>
          <w:rFonts w:eastAsia="Times New Roman"/>
          <w:b w:val="0"/>
          <w:kern w:val="0"/>
        </w:rPr>
        <w:commentReference w:id="188"/>
      </w:r>
    </w:p>
    <w:p w14:paraId="01A9308A" w14:textId="7328C67F" w:rsidR="00153857" w:rsidRDefault="00153857" w:rsidP="00153857">
      <w:pPr>
        <w:pStyle w:val="BodyText"/>
      </w:pPr>
      <w:commentRangeStart w:id="190"/>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commentRangeEnd w:id="190"/>
      <w:r w:rsidR="003059C3">
        <w:rPr>
          <w:rStyle w:val="CommentReference"/>
          <w:rFonts w:eastAsia="Times New Roman"/>
          <w:kern w:val="0"/>
        </w:rPr>
        <w:commentReference w:id="190"/>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w:t>
      </w:r>
      <w:commentRangeStart w:id="191"/>
      <w:r>
        <w:t xml:space="preserve">found in the privacy policy linked </w:t>
      </w:r>
      <w:r w:rsidR="006826C6">
        <w:t xml:space="preserve">to in </w:t>
      </w:r>
      <w:r>
        <w:t xml:space="preserve">the Consent Receipt. </w:t>
      </w:r>
      <w:commentRangeEnd w:id="191"/>
      <w:r w:rsidR="003059C3">
        <w:rPr>
          <w:rStyle w:val="CommentReference"/>
          <w:rFonts w:eastAsia="Times New Roman"/>
          <w:kern w:val="0"/>
        </w:rPr>
        <w:commentReference w:id="191"/>
      </w:r>
    </w:p>
    <w:p w14:paraId="719AB7B6" w14:textId="7777777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w:t>
      </w:r>
      <w:commentRangeStart w:id="192"/>
      <w:r>
        <w:t xml:space="preserve">provider of the receipt is liable for providing the correct collection, use and disclosure </w:t>
      </w:r>
      <w:r w:rsidR="00DF2F0F">
        <w:t xml:space="preserve">notice </w:t>
      </w:r>
      <w:r>
        <w:t>as required by law in the provisioning jurisdiction. As a result, there are three levels of liability to consider for Consent Receipts by the implementer</w:t>
      </w:r>
      <w:commentRangeEnd w:id="192"/>
      <w:r w:rsidR="003059C3">
        <w:rPr>
          <w:rStyle w:val="CommentReference"/>
          <w:rFonts w:eastAsia="Times New Roman"/>
          <w:kern w:val="0"/>
        </w:rPr>
        <w:commentReference w:id="192"/>
      </w:r>
      <w:r>
        <w:t>:</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w:t>
      </w:r>
      <w:commentRangeStart w:id="193"/>
      <w:r>
        <w:t xml:space="preserve">consent notice </w:t>
      </w:r>
      <w:commentRangeEnd w:id="193"/>
      <w:r w:rsidR="003059C3">
        <w:rPr>
          <w:rStyle w:val="CommentReference"/>
          <w:rFonts w:eastAsia="Times New Roman"/>
          <w:kern w:val="0"/>
        </w:rPr>
        <w:commentReference w:id="193"/>
      </w:r>
      <w:r>
        <w:t xml:space="preserve">requirements for the </w:t>
      </w:r>
      <w:proofErr w:type="gramStart"/>
      <w:r w:rsidRPr="005861E4">
        <w:rPr>
          <w:noProof/>
        </w:rPr>
        <w:t>particular</w:t>
      </w:r>
      <w:r>
        <w:t xml:space="preserve"> consent</w:t>
      </w:r>
      <w:proofErr w:type="gramEnd"/>
      <w:r>
        <w:t xml:space="preserve">. </w:t>
      </w:r>
    </w:p>
    <w:p w14:paraId="27569141" w14:textId="64FD6A76" w:rsidR="00153857" w:rsidRDefault="00036C85" w:rsidP="00036C85">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 xml:space="preserve">be considered transparent enough itself to be a </w:t>
      </w:r>
      <w:commentRangeStart w:id="194"/>
      <w:r>
        <w:t>compliance claim.</w:t>
      </w:r>
      <w:commentRangeEnd w:id="194"/>
      <w:r w:rsidR="003059C3">
        <w:rPr>
          <w:rStyle w:val="CommentReference"/>
          <w:rFonts w:eastAsia="Times New Roman"/>
          <w:kern w:val="0"/>
        </w:rPr>
        <w:commentReference w:id="194"/>
      </w:r>
    </w:p>
    <w:p w14:paraId="3F0F31B8" w14:textId="77777777"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might </w:t>
      </w:r>
      <w:r w:rsidRPr="00EA7163">
        <w:rPr>
          <w:noProof/>
        </w:rPr>
        <w:t>be defined</w:t>
      </w:r>
      <w:r w:rsidRPr="008B2618">
        <w:rPr>
          <w:noProof/>
        </w:rPr>
        <w:t xml:space="preserve"> as sensitive.</w:t>
      </w:r>
      <w:r>
        <w:t xml:space="preserve"> </w:t>
      </w:r>
    </w:p>
    <w:p w14:paraId="44F34825" w14:textId="7A219FF3" w:rsidR="00AE5E67" w:rsidRDefault="00BC30AF" w:rsidP="00E968AA">
      <w:pPr>
        <w:pStyle w:val="Heading2"/>
      </w:pPr>
      <w:bookmarkStart w:id="195" w:name="_Toc478312785"/>
      <w:r>
        <w:t xml:space="preserve">Security and Integrity of </w:t>
      </w:r>
      <w:r w:rsidR="00AE5E67">
        <w:t>JSON</w:t>
      </w:r>
      <w:bookmarkEnd w:id="195"/>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196" w:name="_Toc478312786"/>
      <w:r>
        <w:lastRenderedPageBreak/>
        <w:t>Acknowledgements</w:t>
      </w:r>
      <w:bookmarkEnd w:id="196"/>
    </w:p>
    <w:p w14:paraId="3D01B825" w14:textId="77777777" w:rsidR="0044164F" w:rsidRDefault="0044164F" w:rsidP="0077597F">
      <w:r>
        <w:t xml:space="preserve">The Consent Receipt effort has </w:t>
      </w:r>
      <w:r w:rsidRPr="00EA7163">
        <w:rPr>
          <w:noProof/>
        </w:rPr>
        <w:t>been developed</w:t>
      </w:r>
      <w:r>
        <w:t xml:space="preserve"> in the </w:t>
      </w:r>
      <w:proofErr w:type="spellStart"/>
      <w:r>
        <w:t>Kantara</w:t>
      </w:r>
      <w:proofErr w:type="spellEnd"/>
      <w:r>
        <w:t xml:space="preserve">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w:t>
      </w:r>
      <w:proofErr w:type="spellStart"/>
      <w:r>
        <w:t>Kantara</w:t>
      </w:r>
      <w:proofErr w:type="spellEnd"/>
      <w:r>
        <w:t xml:space="preserve"> Working Group, and then email us on our list at </w:t>
      </w:r>
      <w:hyperlink r:id="rId21">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 xml:space="preserve">In addition to </w:t>
      </w:r>
      <w:proofErr w:type="spellStart"/>
      <w:r>
        <w:t>Kantara</w:t>
      </w:r>
      <w:proofErr w:type="spellEnd"/>
      <w:r>
        <w:t>,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 xml:space="preserve">Sal </w:t>
      </w:r>
      <w:proofErr w:type="spellStart"/>
      <w:r>
        <w:t>D’Agostino</w:t>
      </w:r>
      <w:proofErr w:type="spellEnd"/>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97" w:name="_Toc478312787"/>
      <w:r>
        <w:lastRenderedPageBreak/>
        <w:t>References</w:t>
      </w:r>
      <w:bookmarkEnd w:id="197"/>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2"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w:t>
      </w:r>
      <w:proofErr w:type="spellStart"/>
      <w:r>
        <w:t>Kosta</w:t>
      </w:r>
      <w:proofErr w:type="spellEnd"/>
      <w:r>
        <w:t xml:space="preserve">, E., </w:t>
      </w:r>
      <w:r w:rsidRPr="008B24FE">
        <w:rPr>
          <w:i/>
        </w:rPr>
        <w:t>Consent in European Data Protection Law</w:t>
      </w:r>
      <w:r>
        <w:t xml:space="preserve">. Section 5.4: “Consent in the Context of Sensitive Data.” (Ed: 2013) p. 98-100.  </w:t>
      </w:r>
      <w:hyperlink r:id="rId23"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4"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5"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6"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7"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8"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proofErr w:type="spellStart"/>
      <w:r w:rsidR="00193120">
        <w:t>Bradner</w:t>
      </w:r>
      <w:proofErr w:type="spellEnd"/>
      <w:r w:rsidR="00193120">
        <w:t>,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29"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xml:space="preserve">, </w:t>
      </w:r>
      <w:r w:rsidR="00EA05CF">
        <w:t>“</w:t>
      </w:r>
      <w:r w:rsidR="00EA05CF" w:rsidRPr="00EE624A">
        <w:rPr>
          <w:i/>
        </w:rPr>
        <w:t xml:space="preserve">A Universally Unique </w:t>
      </w:r>
      <w:proofErr w:type="spellStart"/>
      <w:r w:rsidR="00EA05CF" w:rsidRPr="00EE624A">
        <w:rPr>
          <w:i/>
        </w:rPr>
        <w:t>IDentifier</w:t>
      </w:r>
      <w:proofErr w:type="spellEnd"/>
      <w:r w:rsidR="00EA05CF" w:rsidRPr="00EE624A">
        <w:rPr>
          <w:i/>
        </w:rPr>
        <w:t xml:space="preserve">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0"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w:t>
      </w:r>
      <w:proofErr w:type="spellStart"/>
      <w:r>
        <w:t>Sakimura</w:t>
      </w:r>
      <w:proofErr w:type="spellEnd"/>
      <w:r>
        <w:t>, “</w:t>
      </w:r>
      <w:r w:rsidRPr="00A92421">
        <w:rPr>
          <w:i/>
        </w:rPr>
        <w:t>JSON Web Signature (JWS)</w:t>
      </w:r>
      <w:r w:rsidRPr="008B2618">
        <w:rPr>
          <w:noProof/>
        </w:rPr>
        <w:t>”,</w:t>
      </w:r>
      <w:r>
        <w:t xml:space="preserve"> RFC 7515, May 2015, </w:t>
      </w:r>
      <w:hyperlink r:id="rId31"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2"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w:t>
      </w:r>
      <w:proofErr w:type="spellStart"/>
      <w:r>
        <w:t>Sakimura</w:t>
      </w:r>
      <w:proofErr w:type="spellEnd"/>
      <w:r>
        <w:t>, “</w:t>
      </w:r>
      <w:r w:rsidRPr="00563FC8">
        <w:rPr>
          <w:i/>
        </w:rPr>
        <w:t>JSON Web Token (JWT)</w:t>
      </w:r>
      <w:r w:rsidRPr="008B2618">
        <w:rPr>
          <w:noProof/>
        </w:rPr>
        <w:t>”,</w:t>
      </w:r>
      <w:r>
        <w:t xml:space="preserve"> RFC 7519, DOI 10.17487/RFC7519, May 2015, </w:t>
      </w:r>
      <w:hyperlink r:id="rId33"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proofErr w:type="spellStart"/>
      <w:r w:rsidRPr="001906C7">
        <w:t>Oxford</w:t>
      </w:r>
      <w:proofErr w:type="spellEnd"/>
      <w:r w:rsidRPr="001906C7">
        <w:t xml:space="preserve">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198" w:name="_Toc464495066"/>
      <w:bookmarkStart w:id="199" w:name="_Toc464635302"/>
      <w:bookmarkStart w:id="200" w:name="_Toc464635596"/>
      <w:bookmarkStart w:id="201" w:name="_Toc464635707"/>
      <w:bookmarkStart w:id="202" w:name="_Toc464682507"/>
      <w:bookmarkStart w:id="203" w:name="_Toc464682806"/>
      <w:bookmarkStart w:id="204" w:name="_Toc464495067"/>
      <w:bookmarkStart w:id="205" w:name="_Toc464635303"/>
      <w:bookmarkStart w:id="206" w:name="_Toc464635597"/>
      <w:bookmarkStart w:id="207" w:name="_Toc464635708"/>
      <w:bookmarkStart w:id="208" w:name="_Toc464682508"/>
      <w:bookmarkStart w:id="209" w:name="_Toc464682807"/>
      <w:bookmarkStart w:id="210" w:name="_Toc464495068"/>
      <w:bookmarkStart w:id="211" w:name="_Toc464635304"/>
      <w:bookmarkStart w:id="212" w:name="_Toc464635598"/>
      <w:bookmarkStart w:id="213" w:name="_Toc464635709"/>
      <w:bookmarkStart w:id="214" w:name="_Toc464682509"/>
      <w:bookmarkStart w:id="215" w:name="_Toc464682808"/>
      <w:bookmarkStart w:id="216" w:name="_Toc464495069"/>
      <w:bookmarkStart w:id="217" w:name="_Toc464635305"/>
      <w:bookmarkStart w:id="218" w:name="_Toc464635599"/>
      <w:bookmarkStart w:id="219" w:name="_Toc464635710"/>
      <w:bookmarkStart w:id="220" w:name="_Toc464682510"/>
      <w:bookmarkStart w:id="221" w:name="_Toc464682809"/>
      <w:bookmarkStart w:id="222" w:name="_Toc464495155"/>
      <w:bookmarkStart w:id="223" w:name="_Toc464635391"/>
      <w:bookmarkStart w:id="224" w:name="_Toc464635685"/>
      <w:bookmarkStart w:id="225" w:name="_Toc464635796"/>
      <w:bookmarkStart w:id="226" w:name="_Toc464682596"/>
      <w:bookmarkStart w:id="227" w:name="_Toc464682895"/>
      <w:bookmarkStart w:id="228" w:name="_Toc464495156"/>
      <w:bookmarkStart w:id="229" w:name="_Toc464635392"/>
      <w:bookmarkStart w:id="230" w:name="_Toc464635686"/>
      <w:bookmarkStart w:id="231" w:name="_Toc464635797"/>
      <w:bookmarkStart w:id="232" w:name="_Toc464682597"/>
      <w:bookmarkStart w:id="233" w:name="_Toc464682896"/>
      <w:bookmarkStart w:id="234" w:name="_Toc47831278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lastRenderedPageBreak/>
        <w:t>PII</w:t>
      </w:r>
      <w:r w:rsidRPr="001126F1">
        <w:t xml:space="preserve"> </w:t>
      </w:r>
      <w:r w:rsidR="009F7112">
        <w:t>Categories of Data</w:t>
      </w:r>
      <w:bookmarkEnd w:id="234"/>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t>
      </w:r>
      <w:proofErr w:type="gramStart"/>
      <w:r w:rsidRPr="009F7112">
        <w:t>widely recognized</w:t>
      </w:r>
      <w:proofErr w:type="gramEnd"/>
      <w:r w:rsidRPr="009F7112">
        <w:t xml:space="preserve">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t>
      </w:r>
      <w:proofErr w:type="spellStart"/>
      <w:r w:rsidRPr="009F7112">
        <w:t>Welfare</w:t>
      </w:r>
      <w:proofErr w:type="spellEnd"/>
      <w:r w:rsidRPr="009F7112">
        <w:t xml:space="preserv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235" w:name="_Toc463268870"/>
      <w:bookmarkStart w:id="236" w:name="_Toc463268981"/>
      <w:bookmarkStart w:id="237" w:name="_Toc463269090"/>
      <w:bookmarkStart w:id="238" w:name="_Toc463269199"/>
      <w:bookmarkStart w:id="239" w:name="_Toc478312789"/>
      <w:bookmarkEnd w:id="235"/>
      <w:bookmarkEnd w:id="236"/>
      <w:bookmarkEnd w:id="237"/>
      <w:bookmarkEnd w:id="238"/>
      <w:r>
        <w:lastRenderedPageBreak/>
        <w:t xml:space="preserve">Example </w:t>
      </w:r>
      <w:r w:rsidR="00E968AA">
        <w:t>C</w:t>
      </w:r>
      <w:r>
        <w:t>onsent R</w:t>
      </w:r>
      <w:r w:rsidR="009F7112">
        <w:t>eceipts</w:t>
      </w:r>
      <w:bookmarkEnd w:id="239"/>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lang w:val="en-GB" w:eastAsia="en-GB"/>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lang w:val="en-GB" w:eastAsia="en-GB"/>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40" w:name="_Toc478312790"/>
      <w:r>
        <w:lastRenderedPageBreak/>
        <w:t>Revision history</w:t>
      </w:r>
      <w:bookmarkEnd w:id="240"/>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7777777" w:rsidR="00FC147F" w:rsidRPr="00FC147F" w:rsidRDefault="00FC147F" w:rsidP="00FC147F">
            <w:pPr>
              <w:pStyle w:val="BodyText"/>
              <w:rPr>
                <w:bCs/>
              </w:rPr>
            </w:pPr>
            <w:r w:rsidRPr="00FC147F">
              <w:rPr>
                <w:bCs/>
              </w:rPr>
              <w:t>0.8 (Alpha)</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77777777" w:rsidR="00FC147F" w:rsidRPr="00FC147F" w:rsidRDefault="00FC147F" w:rsidP="00FC147F">
            <w:pPr>
              <w:pStyle w:val="BodyText"/>
            </w:pPr>
            <w:r w:rsidRPr="00FC147F">
              <w:t>2016-08-06</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77777777" w:rsidR="00FC147F" w:rsidRPr="00FC147F" w:rsidRDefault="00FC147F" w:rsidP="00FC147F">
            <w:pPr>
              <w:pStyle w:val="BodyText"/>
            </w:pPr>
          </w:p>
        </w:tc>
      </w:tr>
      <w:tr w:rsidR="00FC147F" w:rsidRPr="00FC147F" w14:paraId="0D8B824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51D3848E" w14:textId="77777777" w:rsidR="00FC147F" w:rsidRPr="00FC147F" w:rsidRDefault="00FC147F" w:rsidP="00FC147F">
            <w:pPr>
              <w:pStyle w:val="BodyText"/>
              <w:rPr>
                <w:bCs/>
              </w:rPr>
            </w:pPr>
            <w:r>
              <w:rPr>
                <w:bCs/>
              </w:rPr>
              <w:t>0.9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3A9121DD" w14:textId="77777777" w:rsidR="00FC147F" w:rsidRPr="00FC147F" w:rsidRDefault="00FC147F" w:rsidP="00FC147F">
            <w:pPr>
              <w:pStyle w:val="BodyText"/>
            </w:pPr>
            <w:r>
              <w:t>2016-09-21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CCCF2CD" w14:textId="77777777" w:rsidR="00FC147F" w:rsidRPr="00FC147F" w:rsidRDefault="00FC147F" w:rsidP="00FC147F">
            <w:pPr>
              <w:pStyle w:val="BodyText"/>
            </w:pPr>
            <w:r>
              <w:t>Significant re</w:t>
            </w:r>
            <w:r w:rsidR="006D28E3">
              <w:t xml:space="preserve">structuring </w:t>
            </w:r>
            <w:r>
              <w:t xml:space="preserve">of document and updates based on comments received. </w:t>
            </w:r>
          </w:p>
        </w:tc>
      </w:tr>
      <w:tr w:rsidR="00FC147F" w:rsidRPr="00FC147F" w14:paraId="15C899BC"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3C12D077" w14:textId="77777777" w:rsidR="00FC147F" w:rsidRPr="00FC147F" w:rsidRDefault="001D3D43" w:rsidP="00FC147F">
            <w:pPr>
              <w:pStyle w:val="BodyText"/>
              <w:rPr>
                <w:bCs/>
              </w:rPr>
            </w:pPr>
            <w:r>
              <w:rPr>
                <w:bCs/>
              </w:rPr>
              <w:t>0.9.1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D42ED0" w14:textId="77777777" w:rsidR="00FC147F" w:rsidRPr="00FC147F" w:rsidRDefault="001D3D43" w:rsidP="00FC147F">
            <w:pPr>
              <w:pStyle w:val="BodyText"/>
            </w:pPr>
            <w:r>
              <w:t>2016-10-02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F14A346" w14:textId="77777777" w:rsidR="00FC147F" w:rsidRPr="00FC147F" w:rsidRDefault="006E18FF" w:rsidP="00FC147F">
            <w:pPr>
              <w:pStyle w:val="BodyText"/>
            </w:pPr>
            <w:r>
              <w:t xml:space="preserve">New Abstract and Introduction, </w:t>
            </w:r>
            <w:r w:rsidR="001D3D43">
              <w:t>editorial review and update</w:t>
            </w:r>
            <w:r>
              <w:t xml:space="preserve"> of most sections</w:t>
            </w:r>
            <w:r w:rsidR="00EA3E4B">
              <w:t>,</w:t>
            </w:r>
            <w:r w:rsidR="001D3D43">
              <w:t xml:space="preserve"> and updates based on WG feedback.</w:t>
            </w:r>
          </w:p>
        </w:tc>
      </w:tr>
      <w:tr w:rsidR="00FC147F" w:rsidRPr="00FC147F" w14:paraId="4D86539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4BBE8AF3" w14:textId="423CE838" w:rsidR="00FC147F" w:rsidRPr="00FC147F" w:rsidRDefault="008E17A6" w:rsidP="00FC147F">
            <w:pPr>
              <w:pStyle w:val="BodyText"/>
              <w:rPr>
                <w:bCs/>
              </w:rPr>
            </w:pPr>
            <w:r>
              <w:rPr>
                <w:bCs/>
              </w:rPr>
              <w:fldChar w:fldCharType="begin"/>
            </w:r>
            <w:r>
              <w:rPr>
                <w:bCs/>
              </w:rPr>
              <w:instrText xml:space="preserve"> REF versionNum \h </w:instrText>
            </w:r>
            <w:r>
              <w:rPr>
                <w:bCs/>
              </w:rPr>
            </w:r>
            <w:r>
              <w:rPr>
                <w:bCs/>
              </w:rPr>
              <w:fldChar w:fldCharType="separate"/>
            </w:r>
            <w:r w:rsidR="00991F51">
              <w:t>1.0.0</w:t>
            </w:r>
            <w:r>
              <w:rPr>
                <w:bCs/>
              </w:rPr>
              <w:fldChar w:fldCharType="end"/>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67E57B52" w14:textId="77777777" w:rsidR="00FC147F" w:rsidRPr="00FC147F" w:rsidRDefault="00E91AA1" w:rsidP="00FC147F">
            <w:pPr>
              <w:pStyle w:val="BodyText"/>
            </w:pPr>
            <w:r>
              <w:t>2016-10-19</w:t>
            </w:r>
            <w:r w:rsidR="00616185">
              <w:t xml:space="preserve"> </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9B8D9F8" w14:textId="77777777" w:rsidR="00D675DC" w:rsidRDefault="00D675DC" w:rsidP="00D675DC">
            <w:pPr>
              <w:pStyle w:val="BodyText"/>
              <w:numPr>
                <w:ilvl w:val="0"/>
                <w:numId w:val="36"/>
              </w:numPr>
            </w:pPr>
            <w:r>
              <w:t xml:space="preserve">Further editorial updates. </w:t>
            </w:r>
          </w:p>
          <w:p w14:paraId="738EEF7C" w14:textId="77777777" w:rsidR="00FC147F" w:rsidRPr="00FC147F" w:rsidRDefault="00D159CE" w:rsidP="00D675DC">
            <w:pPr>
              <w:pStyle w:val="BodyText"/>
              <w:numPr>
                <w:ilvl w:val="0"/>
                <w:numId w:val="36"/>
              </w:numPr>
            </w:pPr>
            <w:r>
              <w:t xml:space="preserve">Created tables for CR field definition, JSON field descriptions, and </w:t>
            </w:r>
            <w:r w:rsidR="00F26180">
              <w:t xml:space="preserve">CR conformance. </w:t>
            </w:r>
          </w:p>
        </w:tc>
      </w:tr>
      <w:tr w:rsidR="00B97723" w:rsidRPr="00FC147F" w14:paraId="6B3A2D7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540D4B1" w14:textId="77777777" w:rsidR="00B97723" w:rsidRDefault="00B97723" w:rsidP="00FC147F">
            <w:pPr>
              <w:pStyle w:val="BodyText"/>
              <w:rPr>
                <w:bCs/>
              </w:rPr>
            </w:pPr>
            <w:r>
              <w:rPr>
                <w:bCs/>
              </w:rPr>
              <w:t>0.9.3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132C5D2D" w14:textId="77777777" w:rsidR="00B97723" w:rsidRDefault="00B7092D" w:rsidP="00FC147F">
            <w:pPr>
              <w:pStyle w:val="BodyText"/>
            </w:pPr>
            <w:r>
              <w:t>2016-11-04</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27FF36C7" w14:textId="77777777" w:rsidR="00B97723" w:rsidRDefault="00AF7CBA" w:rsidP="00D675DC">
            <w:pPr>
              <w:pStyle w:val="BodyText"/>
              <w:numPr>
                <w:ilvl w:val="0"/>
                <w:numId w:val="36"/>
              </w:numPr>
            </w:pPr>
            <w:r>
              <w:t>More editorial work</w:t>
            </w:r>
          </w:p>
          <w:p w14:paraId="04E54950" w14:textId="77777777" w:rsidR="00AF7CBA" w:rsidRDefault="00AF7CBA" w:rsidP="00D675DC">
            <w:pPr>
              <w:pStyle w:val="BodyText"/>
              <w:numPr>
                <w:ilvl w:val="0"/>
                <w:numId w:val="36"/>
              </w:numPr>
            </w:pPr>
            <w:r>
              <w:t>Re-ordered and reconciled the field names and field order in the three tables and the schema.</w:t>
            </w:r>
          </w:p>
        </w:tc>
      </w:tr>
      <w:tr w:rsidR="00C83BEB" w:rsidRPr="00FC147F" w14:paraId="0D56824C"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31EE4EC6" w14:textId="77777777" w:rsidR="00C83BEB" w:rsidRDefault="00C83BEB" w:rsidP="00C83BEB">
            <w:pPr>
              <w:pStyle w:val="BodyText"/>
              <w:rPr>
                <w:bCs/>
              </w:rPr>
            </w:pPr>
            <w:r>
              <w:rPr>
                <w:bCs/>
              </w:rPr>
              <w:t>1.0.0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1E50CC30" w14:textId="77777777" w:rsidR="00C83BEB" w:rsidRDefault="00C83BEB" w:rsidP="00C83BEB">
            <w:pPr>
              <w:pStyle w:val="BodyText"/>
            </w:pPr>
            <w:r>
              <w:t>2016-11-11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1CB60124" w14:textId="77777777" w:rsidR="00C83BEB" w:rsidRDefault="00C83BEB" w:rsidP="00C83BEB">
            <w:pPr>
              <w:pStyle w:val="BodyText"/>
              <w:numPr>
                <w:ilvl w:val="0"/>
                <w:numId w:val="36"/>
              </w:numPr>
            </w:pPr>
            <w:r>
              <w:t>Incorporated final comments from v0.9.3.</w:t>
            </w:r>
          </w:p>
        </w:tc>
      </w:tr>
      <w:tr w:rsidR="00885B39" w:rsidRPr="00FC147F" w14:paraId="7CC56E5A"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4AD14446" w14:textId="77777777" w:rsidR="00885B39" w:rsidRDefault="00885B39" w:rsidP="00C83BEB">
            <w:pPr>
              <w:pStyle w:val="BodyText"/>
              <w:rPr>
                <w:bCs/>
              </w:rPr>
            </w:pPr>
            <w:r>
              <w:rPr>
                <w:bCs/>
              </w:rPr>
              <w:t>1.0.0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593500C7" w14:textId="77777777" w:rsidR="00885B39" w:rsidRDefault="00E35067" w:rsidP="00C83BEB">
            <w:pPr>
              <w:pStyle w:val="BodyText"/>
            </w:pPr>
            <w:r>
              <w:t>2016-12-16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616BB9D8" w14:textId="77777777" w:rsidR="00885B39" w:rsidRDefault="00885B39" w:rsidP="00C83BEB">
            <w:pPr>
              <w:pStyle w:val="BodyText"/>
              <w:numPr>
                <w:ilvl w:val="0"/>
                <w:numId w:val="36"/>
              </w:numPr>
            </w:pPr>
            <w:r>
              <w:t xml:space="preserve">Final draft for WG approval </w:t>
            </w:r>
          </w:p>
        </w:tc>
      </w:tr>
      <w:tr w:rsidR="002F5C47" w:rsidRPr="00FC147F" w14:paraId="2CB1D3E8"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D277F90" w14:textId="77777777" w:rsidR="002F5C47" w:rsidRDefault="002F5C47" w:rsidP="00C83BEB">
            <w:pPr>
              <w:pStyle w:val="BodyText"/>
              <w:rPr>
                <w:bCs/>
              </w:rPr>
            </w:pPr>
            <w:r>
              <w:rPr>
                <w:bCs/>
              </w:rPr>
              <w:t>1.0.0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2F557D5F" w14:textId="77777777" w:rsidR="002F5C47" w:rsidRDefault="002F5C47" w:rsidP="00C83BEB">
            <w:pPr>
              <w:pStyle w:val="BodyText"/>
            </w:pPr>
            <w:r>
              <w:t>2017-03-16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7DB778FA" w14:textId="77777777" w:rsidR="002F5C47" w:rsidRDefault="002F5C47" w:rsidP="00C83BEB">
            <w:pPr>
              <w:pStyle w:val="BodyText"/>
              <w:numPr>
                <w:ilvl w:val="0"/>
                <w:numId w:val="36"/>
              </w:numPr>
            </w:pPr>
            <w:r>
              <w:t>Incorporated comments from public review and IPR notice period for v1.0.0 DRAFT 2</w:t>
            </w:r>
          </w:p>
          <w:p w14:paraId="02A91C5D" w14:textId="77777777" w:rsidR="002F5C47" w:rsidRDefault="002F5C47" w:rsidP="002F5C47">
            <w:pPr>
              <w:pStyle w:val="BodyText"/>
              <w:numPr>
                <w:ilvl w:val="0"/>
                <w:numId w:val="36"/>
              </w:numPr>
            </w:pPr>
            <w:r>
              <w:t>Final draft for WG approval to forward to LC for all-member ballot.</w:t>
            </w:r>
          </w:p>
        </w:tc>
      </w:tr>
    </w:tbl>
    <w:p w14:paraId="3D1B46FF" w14:textId="77777777" w:rsidR="00FC147F" w:rsidRPr="00FC147F" w:rsidRDefault="00FC147F" w:rsidP="00FC147F">
      <w:pPr>
        <w:pStyle w:val="BodyText"/>
      </w:pPr>
    </w:p>
    <w:sectPr w:rsidR="00FC147F" w:rsidRPr="00FC147F" w:rsidSect="00A11332">
      <w:headerReference w:type="default" r:id="rId37"/>
      <w:footerReference w:type="even" r:id="rId38"/>
      <w:footerReference w:type="default" r:id="rId39"/>
      <w:headerReference w:type="first" r:id="rId40"/>
      <w:footerReference w:type="first" r:id="rId41"/>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Kremer, Jens" w:date="2017-04-16T16:39:00Z" w:initials="KJ">
    <w:p w14:paraId="034867C5" w14:textId="7ECF896B" w:rsidR="005E7E71" w:rsidRDefault="00AF05F9" w:rsidP="005E7E71">
      <w:pPr>
        <w:widowControl w:val="0"/>
        <w:autoSpaceDE w:val="0"/>
        <w:autoSpaceDN w:val="0"/>
        <w:adjustRightInd w:val="0"/>
        <w:spacing w:before="0" w:after="240" w:line="300" w:lineRule="atLeast"/>
        <w:rPr>
          <w:rFonts w:ascii="Times" w:hAnsi="Times" w:cs="Times"/>
          <w:color w:val="000000"/>
          <w:sz w:val="24"/>
          <w:lang w:val="en-GB"/>
        </w:rPr>
      </w:pPr>
      <w:r>
        <w:rPr>
          <w:rStyle w:val="CommentReference"/>
        </w:rPr>
        <w:annotationRef/>
      </w:r>
      <w:r w:rsidR="005E7E71">
        <w:rPr>
          <w:rFonts w:ascii="Times" w:hAnsi="Times" w:cs="Times"/>
          <w:color w:val="000000"/>
          <w:sz w:val="26"/>
          <w:szCs w:val="26"/>
        </w:rPr>
        <w:t>‘</w:t>
      </w:r>
      <w:r w:rsidR="005E7E71">
        <w:rPr>
          <w:rFonts w:ascii="Times" w:hAnsi="Times" w:cs="Times"/>
          <w:color w:val="000000"/>
          <w:sz w:val="26"/>
          <w:szCs w:val="26"/>
          <w:lang w:val="en-GB"/>
        </w:rPr>
        <w:t>…</w:t>
      </w:r>
      <w:r w:rsidR="005E7E71">
        <w:rPr>
          <w:rFonts w:ascii="Times" w:hAnsi="Times" w:cs="Times"/>
          <w:color w:val="000000"/>
          <w:sz w:val="26"/>
          <w:szCs w:val="26"/>
          <w:lang w:val="en-GB"/>
        </w:rPr>
        <w:t>any freely given, specific, informed and unambiguous indication of the data subject's wishes by which he or she, by a statement or by a clear affirmative action, signifies agreement to the processing of personal data relating to him or her;</w:t>
      </w:r>
      <w:r w:rsidR="005E7E71">
        <w:rPr>
          <w:rFonts w:ascii="Times" w:hAnsi="Times" w:cs="Times"/>
          <w:color w:val="000000"/>
          <w:sz w:val="26"/>
          <w:szCs w:val="26"/>
          <w:lang w:val="en-GB"/>
        </w:rPr>
        <w:t>’</w:t>
      </w:r>
    </w:p>
    <w:p w14:paraId="4101DFB2" w14:textId="7FEF8035" w:rsidR="00AF05F9" w:rsidRPr="005E7E71" w:rsidRDefault="00AF05F9">
      <w:pPr>
        <w:pStyle w:val="CommentText"/>
        <w:rPr>
          <w:lang w:val="en-GB"/>
        </w:rPr>
      </w:pPr>
    </w:p>
  </w:comment>
  <w:comment w:id="88" w:author="Kremer, Jens" w:date="2017-04-16T17:02:00Z" w:initials="KJ">
    <w:p w14:paraId="0499FC9F" w14:textId="4902FAF6" w:rsidR="007A6978" w:rsidRDefault="007A6978">
      <w:pPr>
        <w:pStyle w:val="CommentText"/>
      </w:pPr>
      <w:r>
        <w:rPr>
          <w:rStyle w:val="CommentReference"/>
        </w:rPr>
        <w:annotationRef/>
      </w:r>
      <w:r w:rsidR="007461D1">
        <w:t xml:space="preserve">…with the caveat that this metaphor is problematic regarding the basic principles of consent in the GDPR. This could be clarified, though. </w:t>
      </w:r>
    </w:p>
  </w:comment>
  <w:comment w:id="97" w:author="Kremer, Jens" w:date="2017-04-16T17:07:00Z" w:initials="KJ">
    <w:p w14:paraId="7E764B94" w14:textId="6421D3D0" w:rsidR="007461D1" w:rsidRDefault="007461D1">
      <w:pPr>
        <w:pStyle w:val="CommentText"/>
      </w:pPr>
      <w:r>
        <w:rPr>
          <w:rStyle w:val="CommentReference"/>
        </w:rPr>
        <w:annotationRef/>
      </w:r>
      <w:r>
        <w:t xml:space="preserve">This is an awkward term, should be explained, or replaced with current GDPR standard terms. </w:t>
      </w:r>
    </w:p>
  </w:comment>
  <w:comment w:id="98" w:author="Kremer, Jens" w:date="2017-04-16T17:08:00Z" w:initials="KJ">
    <w:p w14:paraId="3DEE31BB" w14:textId="32B143DD" w:rsidR="007461D1" w:rsidRDefault="007461D1">
      <w:pPr>
        <w:pStyle w:val="CommentText"/>
      </w:pPr>
      <w:r>
        <w:rPr>
          <w:rStyle w:val="CommentReference"/>
        </w:rPr>
        <w:annotationRef/>
      </w:r>
      <w:r>
        <w:t xml:space="preserve">May this term should be reconsidered as well. </w:t>
      </w:r>
    </w:p>
  </w:comment>
  <w:comment w:id="99" w:author="Kremer, Jens" w:date="2017-04-16T17:06:00Z" w:initials="KJ">
    <w:p w14:paraId="6DE17EEE" w14:textId="1A0C6E6C" w:rsidR="007461D1" w:rsidRDefault="007461D1">
      <w:pPr>
        <w:pStyle w:val="CommentText"/>
      </w:pPr>
      <w:r>
        <w:rPr>
          <w:rStyle w:val="CommentReference"/>
        </w:rPr>
        <w:annotationRef/>
      </w:r>
      <w:r>
        <w:t xml:space="preserve">Maybe this </w:t>
      </w:r>
      <w:r w:rsidR="00C816AA">
        <w:t>should use GDPR, in addition to</w:t>
      </w:r>
      <w:r>
        <w:t xml:space="preserve"> ISO? </w:t>
      </w:r>
      <w:r w:rsidR="00C816AA">
        <w:t xml:space="preserve">– and then adjust terms accordingly.  </w:t>
      </w:r>
    </w:p>
  </w:comment>
  <w:comment w:id="100" w:author="Kremer, Jens" w:date="2017-04-16T17:10:00Z" w:initials="KJ">
    <w:p w14:paraId="0E837E55" w14:textId="680FF745" w:rsidR="00C816AA" w:rsidRDefault="00C816AA">
      <w:pPr>
        <w:pStyle w:val="CommentText"/>
      </w:pPr>
      <w:r>
        <w:rPr>
          <w:rStyle w:val="CommentReference"/>
        </w:rPr>
        <w:annotationRef/>
      </w:r>
      <w:r>
        <w:t xml:space="preserve">What are consent types? </w:t>
      </w:r>
    </w:p>
  </w:comment>
  <w:comment w:id="102" w:author="Kremer, Jens" w:date="2017-04-16T17:11:00Z" w:initials="KJ">
    <w:p w14:paraId="676C7569" w14:textId="13C74692" w:rsidR="00C816AA" w:rsidRDefault="00C816AA">
      <w:pPr>
        <w:pStyle w:val="CommentText"/>
      </w:pPr>
      <w:r>
        <w:rPr>
          <w:rStyle w:val="CommentReference"/>
        </w:rPr>
        <w:annotationRef/>
      </w:r>
      <w:r>
        <w:t xml:space="preserve">Prior notice is not enough for explicit consent. </w:t>
      </w:r>
    </w:p>
  </w:comment>
  <w:comment w:id="103" w:author="Kremer, Jens" w:date="2017-04-16T17:11:00Z" w:initials="KJ">
    <w:p w14:paraId="07A8B45C" w14:textId="5F530B81" w:rsidR="00C816AA" w:rsidRDefault="00C816AA">
      <w:pPr>
        <w:pStyle w:val="CommentText"/>
      </w:pPr>
      <w:r>
        <w:rPr>
          <w:rStyle w:val="CommentReference"/>
        </w:rPr>
        <w:annotationRef/>
      </w:r>
      <w:r>
        <w:t xml:space="preserve">These are not really in line with GDPR requirements any more. (only </w:t>
      </w:r>
      <w:proofErr w:type="spellStart"/>
      <w:r>
        <w:t>unders</w:t>
      </w:r>
      <w:proofErr w:type="spellEnd"/>
      <w:r>
        <w:t xml:space="preserve"> strict conditions) Particularly the reference to ‘reasonable expectation’ should be reformulated. </w:t>
      </w:r>
    </w:p>
  </w:comment>
  <w:comment w:id="105" w:author="Kremer, Jens" w:date="2017-04-16T17:13:00Z" w:initials="KJ">
    <w:p w14:paraId="3E28777B" w14:textId="14706C74" w:rsidR="00C816AA" w:rsidRDefault="00C816AA">
      <w:pPr>
        <w:pStyle w:val="CommentText"/>
      </w:pPr>
      <w:r>
        <w:rPr>
          <w:rStyle w:val="CommentReference"/>
        </w:rPr>
        <w:annotationRef/>
      </w:r>
      <w:r>
        <w:t xml:space="preserve">This should not be used </w:t>
      </w:r>
      <w:proofErr w:type="gramStart"/>
      <w:r>
        <w:t>in connection with</w:t>
      </w:r>
      <w:proofErr w:type="gramEnd"/>
      <w:r>
        <w:t xml:space="preserve"> consent any more. It may be relevant for legitimate interest processing. </w:t>
      </w:r>
    </w:p>
  </w:comment>
  <w:comment w:id="106" w:author="Kremer, Jens" w:date="2017-04-16T17:14:00Z" w:initials="KJ">
    <w:p w14:paraId="0A1A762A" w14:textId="6E23090C" w:rsidR="00C816AA" w:rsidRDefault="00C816AA">
      <w:pPr>
        <w:pStyle w:val="CommentText"/>
      </w:pPr>
      <w:r>
        <w:rPr>
          <w:rStyle w:val="CommentReference"/>
        </w:rPr>
        <w:annotationRef/>
      </w:r>
      <w:r>
        <w:t xml:space="preserve">Privacy statement or policies come with new requirements from a GDPR perspective. </w:t>
      </w:r>
    </w:p>
  </w:comment>
  <w:comment w:id="107" w:author="Kremer, Jens" w:date="2017-04-16T17:15:00Z" w:initials="KJ">
    <w:p w14:paraId="75FE3B0A" w14:textId="093A93D0" w:rsidR="00C816AA" w:rsidRDefault="00C816AA">
      <w:pPr>
        <w:pStyle w:val="CommentText"/>
      </w:pPr>
      <w:r>
        <w:rPr>
          <w:rStyle w:val="CommentReference"/>
        </w:rPr>
        <w:annotationRef/>
      </w:r>
      <w:r>
        <w:t xml:space="preserve">This should also </w:t>
      </w:r>
      <w:proofErr w:type="gramStart"/>
      <w:r>
        <w:t>take into account</w:t>
      </w:r>
      <w:proofErr w:type="gramEnd"/>
      <w:r>
        <w:t xml:space="preserve"> GDPR </w:t>
      </w:r>
      <w:proofErr w:type="spellStart"/>
      <w:r>
        <w:t>requriements</w:t>
      </w:r>
      <w:proofErr w:type="spellEnd"/>
      <w:r>
        <w:t xml:space="preserve">. </w:t>
      </w:r>
    </w:p>
  </w:comment>
  <w:comment w:id="108" w:author="Kremer, Jens" w:date="2017-04-16T17:16:00Z" w:initials="KJ">
    <w:p w14:paraId="34E0CED3" w14:textId="2A83076D" w:rsidR="00C816AA" w:rsidRDefault="00C816AA">
      <w:pPr>
        <w:pStyle w:val="CommentText"/>
      </w:pPr>
      <w:r>
        <w:rPr>
          <w:rStyle w:val="CommentReference"/>
        </w:rPr>
        <w:annotationRef/>
      </w:r>
      <w:r>
        <w:t xml:space="preserve">What is a ‘privacy stakeholder’? </w:t>
      </w:r>
    </w:p>
  </w:comment>
  <w:comment w:id="109" w:author="Kremer, Jens" w:date="2017-04-16T17:16:00Z" w:initials="KJ">
    <w:p w14:paraId="00E2FC4E" w14:textId="11CB3874" w:rsidR="00C816AA" w:rsidRDefault="00C816AA">
      <w:pPr>
        <w:pStyle w:val="CommentText"/>
      </w:pPr>
      <w:r>
        <w:rPr>
          <w:rStyle w:val="CommentReference"/>
        </w:rPr>
        <w:annotationRef/>
      </w:r>
      <w:r>
        <w:t xml:space="preserve">Confusing formulation: natural personal can also be controllers. </w:t>
      </w:r>
    </w:p>
  </w:comment>
  <w:comment w:id="110" w:author="Kremer, Jens" w:date="2017-04-16T17:17:00Z" w:initials="KJ">
    <w:p w14:paraId="44E1BB72" w14:textId="537B710C" w:rsidR="00C816AA" w:rsidRDefault="00C816AA">
      <w:pPr>
        <w:pStyle w:val="CommentText"/>
      </w:pPr>
      <w:r>
        <w:rPr>
          <w:rStyle w:val="CommentReference"/>
        </w:rPr>
        <w:annotationRef/>
      </w:r>
      <w:r>
        <w:t xml:space="preserve">Maybe GDPR </w:t>
      </w:r>
      <w:proofErr w:type="spellStart"/>
      <w:r>
        <w:t>req</w:t>
      </w:r>
      <w:proofErr w:type="spellEnd"/>
      <w:r>
        <w:t xml:space="preserve"> should be used here as well. </w:t>
      </w:r>
    </w:p>
  </w:comment>
  <w:comment w:id="111" w:author="Kremer, Jens" w:date="2017-04-16T17:17:00Z" w:initials="KJ">
    <w:p w14:paraId="34F62BB6" w14:textId="161B0723" w:rsidR="00C816AA" w:rsidRDefault="00C816AA">
      <w:pPr>
        <w:pStyle w:val="CommentText"/>
      </w:pPr>
      <w:r>
        <w:rPr>
          <w:rStyle w:val="CommentReference"/>
        </w:rPr>
        <w:annotationRef/>
      </w:r>
      <w:r>
        <w:t xml:space="preserve">? </w:t>
      </w:r>
    </w:p>
  </w:comment>
  <w:comment w:id="112" w:author="Kremer, Jens" w:date="2017-04-16T17:18:00Z" w:initials="KJ">
    <w:p w14:paraId="3D47E8F3" w14:textId="2E45AABC" w:rsidR="00C816AA" w:rsidRDefault="00C816AA">
      <w:pPr>
        <w:pStyle w:val="CommentText"/>
      </w:pPr>
      <w:r>
        <w:rPr>
          <w:rStyle w:val="CommentReference"/>
        </w:rPr>
        <w:annotationRef/>
      </w:r>
      <w:r>
        <w:t xml:space="preserve">I would solely use ‘data subject’. </w:t>
      </w:r>
    </w:p>
  </w:comment>
  <w:comment w:id="113" w:author="Kremer, Jens" w:date="2017-04-16T17:19:00Z" w:initials="KJ">
    <w:p w14:paraId="6EE7E9BF" w14:textId="3DBD7964" w:rsidR="00054F1A" w:rsidRDefault="00054F1A">
      <w:pPr>
        <w:pStyle w:val="CommentText"/>
      </w:pPr>
      <w:r>
        <w:rPr>
          <w:rStyle w:val="CommentReference"/>
        </w:rPr>
        <w:annotationRef/>
      </w:r>
      <w:r>
        <w:t xml:space="preserve">This is awkward. </w:t>
      </w:r>
    </w:p>
  </w:comment>
  <w:comment w:id="114" w:author="Kremer, Jens" w:date="2017-04-16T17:20:00Z" w:initials="KJ">
    <w:p w14:paraId="6CABFE2B" w14:textId="48435ABD" w:rsidR="00054F1A" w:rsidRDefault="00054F1A">
      <w:pPr>
        <w:pStyle w:val="CommentText"/>
      </w:pPr>
      <w:r>
        <w:rPr>
          <w:rStyle w:val="CommentReference"/>
        </w:rPr>
        <w:annotationRef/>
      </w:r>
      <w:r>
        <w:t xml:space="preserve">Requite explicit consent? </w:t>
      </w:r>
    </w:p>
  </w:comment>
  <w:comment w:id="125" w:author="Kremer, Jens" w:date="2017-04-16T17:22:00Z" w:initials="KJ">
    <w:p w14:paraId="631D0FB0" w14:textId="0B5FD948" w:rsidR="00054F1A" w:rsidRDefault="00054F1A">
      <w:pPr>
        <w:pStyle w:val="CommentText"/>
      </w:pPr>
      <w:r>
        <w:rPr>
          <w:rStyle w:val="CommentReference"/>
        </w:rPr>
        <w:annotationRef/>
      </w:r>
      <w:r>
        <w:t xml:space="preserve">‘consent transaction’ is a weird, if not misunderstood or false concept. Consent is not transferred, but given for very limited, clear and specific processing purposes. </w:t>
      </w:r>
    </w:p>
  </w:comment>
  <w:comment w:id="126" w:author="Kremer, Jens" w:date="2017-04-16T17:24:00Z" w:initials="KJ">
    <w:p w14:paraId="1C46363F" w14:textId="3E50F565" w:rsidR="00054F1A" w:rsidRDefault="00054F1A">
      <w:pPr>
        <w:pStyle w:val="CommentText"/>
      </w:pPr>
      <w:r>
        <w:rPr>
          <w:rStyle w:val="CommentReference"/>
        </w:rPr>
        <w:annotationRef/>
      </w:r>
      <w:proofErr w:type="gramStart"/>
      <w:r>
        <w:t>No</w:t>
      </w:r>
      <w:proofErr w:type="gramEnd"/>
      <w:r>
        <w:t xml:space="preserve"> it would not necessarily. This should be </w:t>
      </w:r>
      <w:proofErr w:type="spellStart"/>
      <w:r>
        <w:t>clarifired</w:t>
      </w:r>
      <w:proofErr w:type="spellEnd"/>
      <w:r>
        <w:t xml:space="preserve"> and strictly limited to ‘processors’. </w:t>
      </w:r>
    </w:p>
  </w:comment>
  <w:comment w:id="127" w:author="Kremer, Jens" w:date="2017-04-16T17:25:00Z" w:initials="KJ">
    <w:p w14:paraId="6058CD64" w14:textId="79FA7A79" w:rsidR="00054F1A" w:rsidRDefault="00054F1A">
      <w:pPr>
        <w:pStyle w:val="CommentText"/>
      </w:pPr>
      <w:r>
        <w:rPr>
          <w:rStyle w:val="CommentReference"/>
        </w:rPr>
        <w:annotationRef/>
      </w:r>
      <w:r>
        <w:t xml:space="preserve">What if the controller does not have a DPO? </w:t>
      </w:r>
    </w:p>
  </w:comment>
  <w:comment w:id="128" w:author="Kremer, Jens" w:date="2017-04-16T17:26:00Z" w:initials="KJ">
    <w:p w14:paraId="5037365A" w14:textId="7470BA0E" w:rsidR="00054F1A" w:rsidRDefault="00054F1A">
      <w:pPr>
        <w:pStyle w:val="CommentText"/>
      </w:pPr>
      <w:r>
        <w:rPr>
          <w:rStyle w:val="CommentReference"/>
        </w:rPr>
        <w:annotationRef/>
      </w:r>
      <w:r>
        <w:t xml:space="preserve">Also, practically, it may make sense to separate the actual controller from the controller’s DPO in terms of labelling and contact info. </w:t>
      </w:r>
    </w:p>
  </w:comment>
  <w:comment w:id="129" w:author="Kremer, Jens" w:date="2017-04-16T17:27:00Z" w:initials="KJ">
    <w:p w14:paraId="2FA82FEC" w14:textId="72854E4F" w:rsidR="00054F1A" w:rsidRDefault="00054F1A">
      <w:pPr>
        <w:pStyle w:val="CommentText"/>
      </w:pPr>
      <w:r>
        <w:rPr>
          <w:rStyle w:val="CommentReference"/>
        </w:rPr>
        <w:annotationRef/>
      </w:r>
      <w:r>
        <w:t xml:space="preserve">This is a good point, privacy policies need to be archived and kept accessible, however, it is not the prerequisite for the actual consent and may not even be related to it. The difference between </w:t>
      </w:r>
      <w:proofErr w:type="spellStart"/>
      <w:r>
        <w:t>pricacy</w:t>
      </w:r>
      <w:proofErr w:type="spellEnd"/>
      <w:r>
        <w:t xml:space="preserve"> policy and consent should be made very clear </w:t>
      </w:r>
      <w:proofErr w:type="gramStart"/>
      <w:r>
        <w:t>in order to</w:t>
      </w:r>
      <w:proofErr w:type="gramEnd"/>
      <w:r>
        <w:t xml:space="preserve"> avoid the common confusions between privacy policy, contract, agreements and ACTUAL consent. </w:t>
      </w:r>
    </w:p>
  </w:comment>
  <w:comment w:id="130" w:author="Kremer, Jens" w:date="2017-04-16T17:31:00Z" w:initials="KJ">
    <w:p w14:paraId="04B75817" w14:textId="038F171F" w:rsidR="006D05EC" w:rsidRDefault="006D05EC">
      <w:pPr>
        <w:pStyle w:val="CommentText"/>
      </w:pPr>
      <w:r>
        <w:rPr>
          <w:rStyle w:val="CommentReference"/>
        </w:rPr>
        <w:annotationRef/>
      </w:r>
      <w:r>
        <w:t xml:space="preserve">These ‘purpose categories’ are fundamentally flawed. Is this a consent receipt or </w:t>
      </w:r>
      <w:proofErr w:type="gramStart"/>
      <w:r>
        <w:t>some kind of receipt</w:t>
      </w:r>
      <w:proofErr w:type="gramEnd"/>
      <w:r>
        <w:t xml:space="preserve"> for personal data processing?  This needs to be discussed from a GDPR perspective. </w:t>
      </w:r>
    </w:p>
  </w:comment>
  <w:comment w:id="131" w:author="Kremer, Jens" w:date="2017-04-16T17:33:00Z" w:initials="KJ">
    <w:p w14:paraId="04331369" w14:textId="6EE7D1BB" w:rsidR="006D05EC" w:rsidRDefault="006D05EC">
      <w:pPr>
        <w:pStyle w:val="CommentText"/>
      </w:pPr>
      <w:r>
        <w:rPr>
          <w:rStyle w:val="CommentReference"/>
        </w:rPr>
        <w:annotationRef/>
      </w:r>
      <w:r>
        <w:t xml:space="preserve">Not sure if this makes sense form a GDPR perspective. Should at least be clarified. </w:t>
      </w:r>
    </w:p>
  </w:comment>
  <w:comment w:id="132" w:author="Kremer, Jens" w:date="2017-04-16T17:34:00Z" w:initials="KJ">
    <w:p w14:paraId="13EEE22E" w14:textId="4B218763" w:rsidR="006D05EC" w:rsidRDefault="006D05EC">
      <w:pPr>
        <w:pStyle w:val="CommentText"/>
      </w:pPr>
      <w:r>
        <w:rPr>
          <w:rStyle w:val="CommentReference"/>
        </w:rPr>
        <w:annotationRef/>
      </w:r>
      <w:r>
        <w:t xml:space="preserve">? </w:t>
      </w:r>
    </w:p>
  </w:comment>
  <w:comment w:id="133" w:author="Kremer, Jens" w:date="2017-04-16T17:34:00Z" w:initials="KJ">
    <w:p w14:paraId="6285F3A6" w14:textId="03CA4D93" w:rsidR="006D05EC" w:rsidRDefault="006D05EC">
      <w:pPr>
        <w:pStyle w:val="CommentText"/>
      </w:pPr>
      <w:r>
        <w:rPr>
          <w:rStyle w:val="CommentReference"/>
        </w:rPr>
        <w:annotationRef/>
      </w:r>
      <w:r>
        <w:t xml:space="preserve">This does not make sense. What difference would that make? </w:t>
      </w:r>
    </w:p>
  </w:comment>
  <w:comment w:id="134" w:author="Kremer, Jens" w:date="2017-04-16T17:35:00Z" w:initials="KJ">
    <w:p w14:paraId="2F312E2F" w14:textId="52A6F014" w:rsidR="006D05EC" w:rsidRDefault="006D05EC">
      <w:pPr>
        <w:pStyle w:val="CommentText"/>
      </w:pPr>
      <w:r>
        <w:rPr>
          <w:rStyle w:val="CommentReference"/>
        </w:rPr>
        <w:annotationRef/>
      </w:r>
      <w:r>
        <w:t xml:space="preserve">Consent and purpose is not ‘terminated’. Consent can be withdrawn. If there is no purpose for processing any more, processing needs to be stopped, regardless of ‘conditions’. Continuing processing would be illegal in </w:t>
      </w:r>
      <w:proofErr w:type="spellStart"/>
      <w:r>
        <w:t>botth</w:t>
      </w:r>
      <w:proofErr w:type="spellEnd"/>
      <w:r>
        <w:t xml:space="preserve"> cases.  </w:t>
      </w:r>
    </w:p>
  </w:comment>
  <w:comment w:id="135" w:author="Kremer, Jens" w:date="2017-04-16T17:37:00Z" w:initials="KJ">
    <w:p w14:paraId="758D46E0" w14:textId="39112D41" w:rsidR="006D05EC" w:rsidRDefault="006D05EC">
      <w:pPr>
        <w:pStyle w:val="CommentText"/>
      </w:pPr>
      <w:r>
        <w:rPr>
          <w:rStyle w:val="CommentReference"/>
        </w:rPr>
        <w:annotationRef/>
      </w:r>
      <w:r>
        <w:t xml:space="preserve">This should be specified/limited more. Maybe True-false is not sufficient for this to be meaningful. What is the difference between third party and processor here? </w:t>
      </w:r>
    </w:p>
  </w:comment>
  <w:comment w:id="137" w:author="Kremer, Jens" w:date="2017-04-16T17:39:00Z" w:initials="KJ">
    <w:p w14:paraId="645D22C5" w14:textId="7F1337E4" w:rsidR="00707C25" w:rsidRDefault="00707C25">
      <w:pPr>
        <w:pStyle w:val="CommentText"/>
      </w:pPr>
      <w:r>
        <w:rPr>
          <w:rStyle w:val="CommentReference"/>
        </w:rPr>
        <w:annotationRef/>
      </w:r>
      <w:r>
        <w:t xml:space="preserve">? </w:t>
      </w:r>
    </w:p>
  </w:comment>
  <w:comment w:id="179" w:author="Kremer, Jens" w:date="2017-04-16T17:51:00Z" w:initials="KJ">
    <w:p w14:paraId="51BD38C9" w14:textId="5BDFF0C7" w:rsidR="002E2211" w:rsidRDefault="002E2211">
      <w:pPr>
        <w:pStyle w:val="CommentText"/>
      </w:pPr>
      <w:r>
        <w:rPr>
          <w:rStyle w:val="CommentReference"/>
        </w:rPr>
        <w:annotationRef/>
      </w:r>
      <w:r>
        <w:t xml:space="preserve">one way of considering privacy. Privacy is regulated also beyond mere consent. </w:t>
      </w:r>
    </w:p>
  </w:comment>
  <w:comment w:id="180" w:author="Kremer, Jens" w:date="2017-04-16T17:52:00Z" w:initials="KJ">
    <w:p w14:paraId="32195FBF" w14:textId="24BEB1A8" w:rsidR="003059C3" w:rsidRDefault="003059C3">
      <w:pPr>
        <w:pStyle w:val="CommentText"/>
      </w:pPr>
      <w:r>
        <w:rPr>
          <w:rStyle w:val="CommentReference"/>
        </w:rPr>
        <w:annotationRef/>
      </w:r>
      <w:r>
        <w:t xml:space="preserve">How is this social control? </w:t>
      </w:r>
    </w:p>
  </w:comment>
  <w:comment w:id="181" w:author="Kremer, Jens" w:date="2017-04-16T17:52:00Z" w:initials="KJ">
    <w:p w14:paraId="0B36DF73" w14:textId="0C7B681F" w:rsidR="003059C3" w:rsidRDefault="003059C3">
      <w:pPr>
        <w:pStyle w:val="CommentText"/>
      </w:pPr>
      <w:r>
        <w:rPr>
          <w:rStyle w:val="CommentReference"/>
        </w:rPr>
        <w:annotationRef/>
      </w:r>
      <w:r>
        <w:t>???</w:t>
      </w:r>
    </w:p>
  </w:comment>
  <w:comment w:id="182" w:author="Kremer, Jens" w:date="2017-04-16T17:53:00Z" w:initials="KJ">
    <w:p w14:paraId="716B4A63" w14:textId="5108F2B4" w:rsidR="003059C3" w:rsidRDefault="003059C3">
      <w:pPr>
        <w:pStyle w:val="CommentText"/>
      </w:pPr>
      <w:r>
        <w:rPr>
          <w:rStyle w:val="CommentReference"/>
        </w:rPr>
        <w:annotationRef/>
      </w:r>
      <w:r>
        <w:t xml:space="preserve">not sure if this makes sense. </w:t>
      </w:r>
    </w:p>
  </w:comment>
  <w:comment w:id="184" w:author="Kremer, Jens" w:date="2017-04-16T17:54:00Z" w:initials="KJ">
    <w:p w14:paraId="6AC9185D" w14:textId="4C65267E" w:rsidR="003059C3" w:rsidRDefault="003059C3">
      <w:pPr>
        <w:pStyle w:val="CommentText"/>
      </w:pPr>
      <w:r>
        <w:rPr>
          <w:rStyle w:val="CommentReference"/>
        </w:rPr>
        <w:annotationRef/>
      </w:r>
      <w:r>
        <w:t xml:space="preserve">Data processor to process data. The consent is not given for providing services. </w:t>
      </w:r>
    </w:p>
  </w:comment>
  <w:comment w:id="185" w:author="Kremer, Jens" w:date="2017-04-16T17:55:00Z" w:initials="KJ">
    <w:p w14:paraId="50E68249" w14:textId="4BD143F6" w:rsidR="003059C3" w:rsidRDefault="003059C3">
      <w:pPr>
        <w:pStyle w:val="CommentText"/>
      </w:pPr>
      <w:r>
        <w:rPr>
          <w:rStyle w:val="CommentReference"/>
        </w:rPr>
        <w:annotationRef/>
      </w:r>
      <w:r>
        <w:t xml:space="preserve">It may </w:t>
      </w:r>
      <w:proofErr w:type="gramStart"/>
      <w:r>
        <w:t>makes</w:t>
      </w:r>
      <w:proofErr w:type="gramEnd"/>
      <w:r>
        <w:t xml:space="preserve"> sense to separate this into two issues. A) consent and obtain it with the CR, and </w:t>
      </w:r>
      <w:proofErr w:type="spellStart"/>
      <w:r>
        <w:t>b</w:t>
      </w:r>
      <w:proofErr w:type="spellEnd"/>
      <w:r>
        <w:t xml:space="preserve">) the consent receipt as such may </w:t>
      </w:r>
      <w:proofErr w:type="gramStart"/>
      <w:r>
        <w:t>be considered to be</w:t>
      </w:r>
      <w:proofErr w:type="gramEnd"/>
      <w:r>
        <w:t xml:space="preserve"> personal data. But this raises entirely different issues. </w:t>
      </w:r>
    </w:p>
  </w:comment>
  <w:comment w:id="188" w:author="Kremer, Jens" w:date="2017-04-16T17:58:00Z" w:initials="KJ">
    <w:p w14:paraId="48690169" w14:textId="611D988E" w:rsidR="003059C3" w:rsidRDefault="003059C3">
      <w:pPr>
        <w:pStyle w:val="CommentText"/>
      </w:pPr>
      <w:r>
        <w:rPr>
          <w:rStyle w:val="CommentReference"/>
        </w:rPr>
        <w:annotationRef/>
      </w:r>
      <w:r>
        <w:t>This section should be reworked and clarified.</w:t>
      </w:r>
      <w:r w:rsidR="002B7C8B">
        <w:t xml:space="preserve"> </w:t>
      </w:r>
      <w:r w:rsidR="002B7C8B">
        <w:t>What about liability and compliance for personal data processing as such</w:t>
      </w:r>
      <w:bookmarkStart w:id="189" w:name="_GoBack"/>
      <w:bookmarkEnd w:id="189"/>
      <w:r w:rsidR="002B7C8B">
        <w:t xml:space="preserve">? </w:t>
      </w:r>
      <w:r>
        <w:t xml:space="preserve"> </w:t>
      </w:r>
    </w:p>
  </w:comment>
  <w:comment w:id="190" w:author="Kremer, Jens" w:date="2017-04-16T17:57:00Z" w:initials="KJ">
    <w:p w14:paraId="5113704D" w14:textId="550529A1" w:rsidR="003059C3" w:rsidRDefault="003059C3">
      <w:pPr>
        <w:pStyle w:val="CommentText"/>
      </w:pPr>
      <w:r>
        <w:rPr>
          <w:rStyle w:val="CommentReference"/>
        </w:rPr>
        <w:annotationRef/>
      </w:r>
      <w:r>
        <w:t xml:space="preserve">This does not make any sense to me. </w:t>
      </w:r>
    </w:p>
  </w:comment>
  <w:comment w:id="191" w:author="Kremer, Jens" w:date="2017-04-16T17:58:00Z" w:initials="KJ">
    <w:p w14:paraId="571FEDF6" w14:textId="228D540A" w:rsidR="003059C3" w:rsidRDefault="003059C3">
      <w:pPr>
        <w:pStyle w:val="CommentText"/>
      </w:pPr>
      <w:r>
        <w:rPr>
          <w:rStyle w:val="CommentReference"/>
        </w:rPr>
        <w:annotationRef/>
      </w:r>
      <w:r>
        <w:t xml:space="preserve">? what would that change? </w:t>
      </w:r>
    </w:p>
  </w:comment>
  <w:comment w:id="192" w:author="Kremer, Jens" w:date="2017-04-16T17:59:00Z" w:initials="KJ">
    <w:p w14:paraId="58A60186" w14:textId="3A695709" w:rsidR="003059C3" w:rsidRDefault="003059C3">
      <w:pPr>
        <w:pStyle w:val="CommentText"/>
      </w:pPr>
      <w:r>
        <w:rPr>
          <w:rStyle w:val="CommentReference"/>
        </w:rPr>
        <w:annotationRef/>
      </w:r>
      <w:r>
        <w:t xml:space="preserve">The controller is always liable. </w:t>
      </w:r>
      <w:proofErr w:type="gramStart"/>
      <w:r>
        <w:t>Also</w:t>
      </w:r>
      <w:proofErr w:type="gramEnd"/>
      <w:r>
        <w:t xml:space="preserve"> when there the data does not fall into a special category. </w:t>
      </w:r>
    </w:p>
  </w:comment>
  <w:comment w:id="193" w:author="Kremer, Jens" w:date="2017-04-16T18:00:00Z" w:initials="KJ">
    <w:p w14:paraId="07ECBD5A" w14:textId="25640BB2" w:rsidR="003059C3" w:rsidRDefault="003059C3">
      <w:pPr>
        <w:pStyle w:val="CommentText"/>
      </w:pPr>
      <w:r>
        <w:rPr>
          <w:rStyle w:val="CommentReference"/>
        </w:rPr>
        <w:annotationRef/>
      </w:r>
      <w:r>
        <w:t xml:space="preserve">This idea of ‘consent notice’ seems flawed. This should be addressed throughout the document. </w:t>
      </w:r>
    </w:p>
  </w:comment>
  <w:comment w:id="194" w:author="Kremer, Jens" w:date="2017-04-16T18:01:00Z" w:initials="KJ">
    <w:p w14:paraId="0291B5FB" w14:textId="16F5D375" w:rsidR="003059C3" w:rsidRDefault="003059C3">
      <w:pPr>
        <w:pStyle w:val="CommentText"/>
      </w:pPr>
      <w:r>
        <w:rPr>
          <w:rStyle w:val="CommentReference"/>
        </w:rPr>
        <w:annotationRef/>
      </w:r>
      <w:r>
        <w:t xml:space="preserve">By whom?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1DFB2" w15:done="0"/>
  <w15:commentEx w15:paraId="0499FC9F" w15:done="0"/>
  <w15:commentEx w15:paraId="7E764B94" w15:done="0"/>
  <w15:commentEx w15:paraId="3DEE31BB" w15:done="0"/>
  <w15:commentEx w15:paraId="6DE17EEE" w15:done="0"/>
  <w15:commentEx w15:paraId="0E837E55" w15:done="0"/>
  <w15:commentEx w15:paraId="676C7569" w15:done="0"/>
  <w15:commentEx w15:paraId="07A8B45C" w15:done="0"/>
  <w15:commentEx w15:paraId="3E28777B" w15:done="0"/>
  <w15:commentEx w15:paraId="0A1A762A" w15:done="0"/>
  <w15:commentEx w15:paraId="75FE3B0A" w15:done="0"/>
  <w15:commentEx w15:paraId="34E0CED3" w15:done="0"/>
  <w15:commentEx w15:paraId="00E2FC4E" w15:done="0"/>
  <w15:commentEx w15:paraId="44E1BB72" w15:done="0"/>
  <w15:commentEx w15:paraId="34F62BB6" w15:done="0"/>
  <w15:commentEx w15:paraId="3D47E8F3" w15:done="0"/>
  <w15:commentEx w15:paraId="6EE7E9BF" w15:done="0"/>
  <w15:commentEx w15:paraId="6CABFE2B" w15:done="0"/>
  <w15:commentEx w15:paraId="631D0FB0" w15:done="0"/>
  <w15:commentEx w15:paraId="1C46363F" w15:done="0"/>
  <w15:commentEx w15:paraId="6058CD64" w15:done="0"/>
  <w15:commentEx w15:paraId="5037365A" w15:done="0"/>
  <w15:commentEx w15:paraId="2FA82FEC" w15:done="0"/>
  <w15:commentEx w15:paraId="04B75817" w15:done="0"/>
  <w15:commentEx w15:paraId="04331369" w15:done="0"/>
  <w15:commentEx w15:paraId="13EEE22E" w15:done="0"/>
  <w15:commentEx w15:paraId="6285F3A6" w15:done="0"/>
  <w15:commentEx w15:paraId="2F312E2F" w15:done="0"/>
  <w15:commentEx w15:paraId="758D46E0" w15:done="0"/>
  <w15:commentEx w15:paraId="645D22C5" w15:done="0"/>
  <w15:commentEx w15:paraId="51BD38C9" w15:done="0"/>
  <w15:commentEx w15:paraId="32195FBF" w15:done="0"/>
  <w15:commentEx w15:paraId="0B36DF73" w15:done="0"/>
  <w15:commentEx w15:paraId="716B4A63" w15:done="0"/>
  <w15:commentEx w15:paraId="6AC9185D" w15:done="0"/>
  <w15:commentEx w15:paraId="50E68249" w15:done="0"/>
  <w15:commentEx w15:paraId="48690169" w15:done="0"/>
  <w15:commentEx w15:paraId="5113704D" w15:done="0"/>
  <w15:commentEx w15:paraId="571FEDF6" w15:done="0"/>
  <w15:commentEx w15:paraId="58A60186" w15:done="0"/>
  <w15:commentEx w15:paraId="07ECBD5A" w15:done="0"/>
  <w15:commentEx w15:paraId="0291B5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BF54" w14:textId="77777777" w:rsidR="00AB18D5" w:rsidRDefault="00AB18D5">
      <w:r>
        <w:separator/>
      </w:r>
    </w:p>
  </w:endnote>
  <w:endnote w:type="continuationSeparator" w:id="0">
    <w:p w14:paraId="5005E0C2" w14:textId="77777777" w:rsidR="00AB18D5" w:rsidRDefault="00AB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B46EAA" w:rsidRDefault="00B46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B46EAA" w:rsidRDefault="00B46EAA">
    <w:pPr>
      <w:pStyle w:val="Footer"/>
      <w:ind w:right="360"/>
    </w:pPr>
  </w:p>
  <w:p w14:paraId="0A84BBEB" w14:textId="77777777" w:rsidR="00B46EAA" w:rsidRDefault="00B46EAA"/>
  <w:p w14:paraId="2129EFF4" w14:textId="77777777" w:rsidR="00B46EAA" w:rsidRDefault="00B46EA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D300" w14:textId="77777777" w:rsidR="00B46EAA" w:rsidRPr="007A5803" w:rsidRDefault="00B46EAA"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proofErr w:type="spellStart"/>
    <w:r w:rsidRPr="007A5803">
      <w:rPr>
        <w:rFonts w:ascii="Century Gothic" w:hAnsi="Century Gothic"/>
        <w:b/>
        <w:sz w:val="18"/>
        <w:szCs w:val="18"/>
      </w:rPr>
      <w:t>Kantara</w:t>
    </w:r>
    <w:proofErr w:type="spellEnd"/>
    <w:r w:rsidRPr="007A5803">
      <w:rPr>
        <w:rFonts w:ascii="Century Gothic" w:hAnsi="Century Gothic"/>
        <w:b/>
        <w:sz w:val="18"/>
        <w:szCs w:val="18"/>
      </w:rPr>
      <w:t xml:space="preserve">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B46EAA" w:rsidRPr="007A5803" w:rsidRDefault="00B46EAA"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77777777" w:rsidR="00B46EAA" w:rsidRDefault="00B46EAA"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B7C8B">
      <w:rPr>
        <w:noProof/>
        <w:sz w:val="18"/>
        <w:szCs w:val="18"/>
      </w:rPr>
      <w:t>2</w:t>
    </w:r>
    <w:r w:rsidRPr="007A5803">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C42" w14:textId="77777777" w:rsidR="00B46EAA" w:rsidRPr="007A5803" w:rsidRDefault="00B46EAA" w:rsidP="007A5803">
    <w:pPr>
      <w:pStyle w:val="Footer"/>
      <w:pBdr>
        <w:top w:val="single" w:sz="4" w:space="1" w:color="33CCCC"/>
      </w:pBdr>
      <w:spacing w:after="0" w:line="240" w:lineRule="auto"/>
      <w:jc w:val="center"/>
      <w:rPr>
        <w:rFonts w:ascii="Century Gothic" w:hAnsi="Century Gothic"/>
        <w:b/>
        <w:sz w:val="18"/>
        <w:szCs w:val="18"/>
      </w:rPr>
    </w:pPr>
    <w:proofErr w:type="spellStart"/>
    <w:r w:rsidRPr="007A5803">
      <w:rPr>
        <w:rFonts w:ascii="Century Gothic" w:hAnsi="Century Gothic"/>
        <w:b/>
        <w:sz w:val="18"/>
        <w:szCs w:val="18"/>
      </w:rPr>
      <w:t>Kantara</w:t>
    </w:r>
    <w:proofErr w:type="spellEnd"/>
    <w:r w:rsidRPr="007A5803">
      <w:rPr>
        <w:rFonts w:ascii="Century Gothic" w:hAnsi="Century Gothic"/>
        <w:b/>
        <w:sz w:val="18"/>
        <w:szCs w:val="18"/>
      </w:rPr>
      <w:t xml:space="preserve">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B46EAA" w:rsidRPr="007A5803" w:rsidRDefault="00B46EAA"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77777777" w:rsidR="00B46EAA" w:rsidRDefault="00B46EAA"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B7C8B">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26F6" w14:textId="77777777" w:rsidR="00AB18D5" w:rsidRDefault="00AB18D5">
      <w:r>
        <w:separator/>
      </w:r>
    </w:p>
  </w:footnote>
  <w:footnote w:type="continuationSeparator" w:id="0">
    <w:p w14:paraId="573F6A06" w14:textId="77777777" w:rsidR="00AB18D5" w:rsidRDefault="00AB1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4D46" w14:textId="35A59612" w:rsidR="00B46EAA" w:rsidRPr="00B94EB7" w:rsidRDefault="00B46EAA"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B60380">
      <w:rPr>
        <w:rFonts w:ascii="Century Gothic" w:hAnsi="Century Gothic"/>
        <w:b/>
        <w:szCs w:val="22"/>
      </w:rPr>
      <w:t>1.0.0</w:t>
    </w:r>
    <w:r>
      <w:rPr>
        <w:rFonts w:ascii="Century Gothic" w:hAnsi="Century Gothic"/>
        <w:b/>
        <w:szCs w:val="22"/>
      </w:rPr>
      <w:fldChar w:fldCharType="end"/>
    </w:r>
  </w:p>
  <w:p w14:paraId="156B6AA5" w14:textId="77777777" w:rsidR="00B46EAA" w:rsidRDefault="00B46EAA"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77777777" w:rsidR="00B46EAA" w:rsidRDefault="00B46EAA"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mer, Jens">
    <w15:presenceInfo w15:providerId="None" w15:userId="Kremer, J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kFAAMwcyEtAAAA"/>
  </w:docVars>
  <w:rsids>
    <w:rsidRoot w:val="00CE0D98"/>
    <w:rsid w:val="0001102B"/>
    <w:rsid w:val="000159A2"/>
    <w:rsid w:val="000168C8"/>
    <w:rsid w:val="00022944"/>
    <w:rsid w:val="000245FD"/>
    <w:rsid w:val="00025AD0"/>
    <w:rsid w:val="00034DAE"/>
    <w:rsid w:val="00036C85"/>
    <w:rsid w:val="00052528"/>
    <w:rsid w:val="00054F1A"/>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58B4"/>
    <w:rsid w:val="000C2407"/>
    <w:rsid w:val="000C5BDD"/>
    <w:rsid w:val="000C7893"/>
    <w:rsid w:val="000D4961"/>
    <w:rsid w:val="000D6302"/>
    <w:rsid w:val="000E0904"/>
    <w:rsid w:val="000E0A4E"/>
    <w:rsid w:val="000E38C7"/>
    <w:rsid w:val="000F725F"/>
    <w:rsid w:val="001025EE"/>
    <w:rsid w:val="0010481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85146"/>
    <w:rsid w:val="00190261"/>
    <w:rsid w:val="001906C7"/>
    <w:rsid w:val="00193120"/>
    <w:rsid w:val="001A2023"/>
    <w:rsid w:val="001A546F"/>
    <w:rsid w:val="001B5D62"/>
    <w:rsid w:val="001C437B"/>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638D1"/>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C8B"/>
    <w:rsid w:val="002B7E0E"/>
    <w:rsid w:val="002C08F7"/>
    <w:rsid w:val="002C4D57"/>
    <w:rsid w:val="002C6190"/>
    <w:rsid w:val="002D2B31"/>
    <w:rsid w:val="002D4A9F"/>
    <w:rsid w:val="002D6F26"/>
    <w:rsid w:val="002D7421"/>
    <w:rsid w:val="002E2211"/>
    <w:rsid w:val="002E2E14"/>
    <w:rsid w:val="002E3122"/>
    <w:rsid w:val="002E3784"/>
    <w:rsid w:val="002E3E25"/>
    <w:rsid w:val="002E705E"/>
    <w:rsid w:val="002F075F"/>
    <w:rsid w:val="002F5779"/>
    <w:rsid w:val="002F5C47"/>
    <w:rsid w:val="002F5CFC"/>
    <w:rsid w:val="002F7D41"/>
    <w:rsid w:val="003059C3"/>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B352E"/>
    <w:rsid w:val="005C0FE6"/>
    <w:rsid w:val="005C3998"/>
    <w:rsid w:val="005C5813"/>
    <w:rsid w:val="005D2DCA"/>
    <w:rsid w:val="005D2EBA"/>
    <w:rsid w:val="005E569E"/>
    <w:rsid w:val="005E5843"/>
    <w:rsid w:val="005E73A4"/>
    <w:rsid w:val="005E7E71"/>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05EC"/>
    <w:rsid w:val="006D28E3"/>
    <w:rsid w:val="006D3BE5"/>
    <w:rsid w:val="006D4199"/>
    <w:rsid w:val="006E18FF"/>
    <w:rsid w:val="006E3550"/>
    <w:rsid w:val="006E3D8C"/>
    <w:rsid w:val="006E7CD4"/>
    <w:rsid w:val="006F205F"/>
    <w:rsid w:val="006F6D8E"/>
    <w:rsid w:val="006F7120"/>
    <w:rsid w:val="006F775F"/>
    <w:rsid w:val="00701E96"/>
    <w:rsid w:val="0070246D"/>
    <w:rsid w:val="007038A7"/>
    <w:rsid w:val="007079B4"/>
    <w:rsid w:val="00707C25"/>
    <w:rsid w:val="00711CCF"/>
    <w:rsid w:val="0071583D"/>
    <w:rsid w:val="00720750"/>
    <w:rsid w:val="00727F97"/>
    <w:rsid w:val="007335A8"/>
    <w:rsid w:val="0074510B"/>
    <w:rsid w:val="00745431"/>
    <w:rsid w:val="007459F0"/>
    <w:rsid w:val="00746132"/>
    <w:rsid w:val="007461D1"/>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6978"/>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1F51"/>
    <w:rsid w:val="00992364"/>
    <w:rsid w:val="009976EC"/>
    <w:rsid w:val="009A0963"/>
    <w:rsid w:val="009A26A9"/>
    <w:rsid w:val="009A27EE"/>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B18D5"/>
    <w:rsid w:val="00AB4453"/>
    <w:rsid w:val="00AC3CF9"/>
    <w:rsid w:val="00AC475C"/>
    <w:rsid w:val="00AC52D8"/>
    <w:rsid w:val="00AD2CF3"/>
    <w:rsid w:val="00AD33D1"/>
    <w:rsid w:val="00AD624B"/>
    <w:rsid w:val="00AD6D0B"/>
    <w:rsid w:val="00AD77D1"/>
    <w:rsid w:val="00AE0903"/>
    <w:rsid w:val="00AE2F2E"/>
    <w:rsid w:val="00AE5E67"/>
    <w:rsid w:val="00AE6E34"/>
    <w:rsid w:val="00AF05F9"/>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46EAA"/>
    <w:rsid w:val="00B51E33"/>
    <w:rsid w:val="00B57D07"/>
    <w:rsid w:val="00B60380"/>
    <w:rsid w:val="00B7092D"/>
    <w:rsid w:val="00B722C9"/>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4DDC"/>
    <w:rsid w:val="00BD6A47"/>
    <w:rsid w:val="00BD7244"/>
    <w:rsid w:val="00BD7F0A"/>
    <w:rsid w:val="00BE0586"/>
    <w:rsid w:val="00BE1351"/>
    <w:rsid w:val="00BE3D1A"/>
    <w:rsid w:val="00BE4194"/>
    <w:rsid w:val="00BE49F1"/>
    <w:rsid w:val="00BF0FD1"/>
    <w:rsid w:val="00BF35F9"/>
    <w:rsid w:val="00BF3B82"/>
    <w:rsid w:val="00BF6B52"/>
    <w:rsid w:val="00BF7B71"/>
    <w:rsid w:val="00C04A03"/>
    <w:rsid w:val="00C05632"/>
    <w:rsid w:val="00C0756F"/>
    <w:rsid w:val="00C11D21"/>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16AA"/>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schema.org/PostalAddress" TargetMode="External"/><Relationship Id="rId21" Type="http://schemas.openxmlformats.org/officeDocument/2006/relationships/hyperlink" Target="mailto:wg-infosharing@kantarainitiative.org" TargetMode="External"/><Relationship Id="rId22" Type="http://schemas.openxmlformats.org/officeDocument/2006/relationships/hyperlink" Target="https://www.dhs.gov/sites/default/files/publications/privacy/Guidance/handbookforsafeguardingsensitivePII_march_2012_webversion.pdf" TargetMode="External"/><Relationship Id="rId23" Type="http://schemas.openxmlformats.org/officeDocument/2006/relationships/hyperlink" Target="https://goo.gl/JGPX2Y" TargetMode="External"/><Relationship Id="rId24" Type="http://schemas.openxmlformats.org/officeDocument/2006/relationships/hyperlink" Target="https://www.cippguide.org/2010/07/01/generally-accepted-privacy-principles-gapp/" TargetMode="External"/><Relationship Id="rId25" Type="http://schemas.openxmlformats.org/officeDocument/2006/relationships/hyperlink" Target="http://www.eugdpr.org/article-summaries.html" TargetMode="External"/><Relationship Id="rId26" Type="http://schemas.openxmlformats.org/officeDocument/2006/relationships/hyperlink" Target="https://www.iso.org/obp/ui/" TargetMode="External"/><Relationship Id="rId27" Type="http://schemas.openxmlformats.org/officeDocument/2006/relationships/hyperlink" Target="http://www.iso.org/iso/iso_catalogue/catalogue_tc/catalogue_detail.htm?csnumber=45123" TargetMode="External"/><Relationship Id="rId28" Type="http://schemas.openxmlformats.org/officeDocument/2006/relationships/hyperlink" Target="http://laws-lois.justice.gc.ca/eng/acts/P-8.6/index.html"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fc-editor.org/info/rfc7159" TargetMode="External"/><Relationship Id="rId31" Type="http://schemas.openxmlformats.org/officeDocument/2006/relationships/hyperlink" Target="https://tools.ietf.org/html/rfc7515" TargetMode="External"/><Relationship Id="rId32" Type="http://schemas.openxmlformats.org/officeDocument/2006/relationships/hyperlink" Target="https://tools.ietf.org/html/rfc7516" TargetMode="External"/><Relationship Id="rId9" Type="http://schemas.openxmlformats.org/officeDocument/2006/relationships/hyperlink" Target="http://kantarainitiative.org/confluence/x/DYBQAQ"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tools.ietf.org/html/rfc7519" TargetMode="External"/><Relationship Id="rId34" Type="http://schemas.openxmlformats.org/officeDocument/2006/relationships/hyperlink" Target="https://en.oxforddictionaries.com/definition/us/human-readable" TargetMode="External"/><Relationship Id="rId35" Type="http://schemas.openxmlformats.org/officeDocument/2006/relationships/image" Target="media/image2.png"/><Relationship Id="rId36" Type="http://schemas.openxmlformats.org/officeDocument/2006/relationships/image" Target="media/image3.png"/><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1" Type="http://schemas.openxmlformats.org/officeDocument/2006/relationships/hyperlink" Target="https://kantarainitiative.org/confluence/pages/viewpage.action?pageId=41025689"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rfc-editor.org/info/rfc2119" TargetMode="External"/><Relationship Id="rId15" Type="http://schemas.openxmlformats.org/officeDocument/2006/relationships/hyperlink" Target="http://www.rfc-editor.org/info/rfc2119" TargetMode="External"/><Relationship Id="rId16" Type="http://schemas.openxmlformats.org/officeDocument/2006/relationships/hyperlink" Target="http://www.rfc-editor.org/info/rfc7159" TargetMode="External"/><Relationship Id="rId17" Type="http://schemas.openxmlformats.org/officeDocument/2006/relationships/hyperlink" Target="https://docs.kantarainitiative.org/uma/rec-uma-core.html" TargetMode="External"/><Relationship Id="rId18" Type="http://schemas.openxmlformats.org/officeDocument/2006/relationships/hyperlink" Target="http://www.legislation.gov.uk/ukpga/1998/29/section/2" TargetMode="External"/><Relationship Id="rId19" Type="http://schemas.openxmlformats.org/officeDocument/2006/relationships/hyperlink" Target="http://kantarainitiative.org/confluence/display/infosharing/Appendix+CR+-+V.9.3+-+Example+Purpose+Categories"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2.xml"/><Relationship Id="rId41" Type="http://schemas.openxmlformats.org/officeDocument/2006/relationships/footer" Target="footer3.xml"/><Relationship Id="rId42" Type="http://schemas.openxmlformats.org/officeDocument/2006/relationships/fontTable" Target="fontTable.xml"/><Relationship Id="rId43" Type="http://schemas.microsoft.com/office/2011/relationships/people" Target="people.xml"/><Relationship Id="rId4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A197-240E-2649-88AE-21DF4708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6095</Words>
  <Characters>34744</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40758</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Kremer, Jens</cp:lastModifiedBy>
  <cp:revision>3</cp:revision>
  <cp:lastPrinted>2017-03-15T15:39:00Z</cp:lastPrinted>
  <dcterms:created xsi:type="dcterms:W3CDTF">2017-04-16T13:44:00Z</dcterms:created>
  <dcterms:modified xsi:type="dcterms:W3CDTF">2017-04-16T15:06:00Z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