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2FE" w:rsidRPr="00DC52FE" w:rsidRDefault="00DC52FE" w:rsidP="00DC52FE">
      <w:pPr>
        <w:spacing w:before="100" w:beforeAutospacing="1" w:after="100" w:afterAutospacing="1" w:line="240" w:lineRule="auto"/>
        <w:outlineLvl w:val="3"/>
        <w:rPr>
          <w:rFonts w:eastAsia="Times New Roman" w:cstheme="minorHAnsi"/>
          <w:b/>
          <w:bCs/>
          <w:sz w:val="24"/>
          <w:szCs w:val="24"/>
        </w:rPr>
      </w:pPr>
      <w:r w:rsidRPr="00DC52FE">
        <w:rPr>
          <w:rFonts w:eastAsia="Times New Roman" w:cstheme="minorHAnsi"/>
          <w:b/>
          <w:bCs/>
          <w:sz w:val="24"/>
          <w:szCs w:val="24"/>
        </w:rPr>
        <w:t xml:space="preserve">Date:  </w:t>
      </w:r>
      <w:r w:rsidR="002B09A5">
        <w:rPr>
          <w:rFonts w:eastAsia="Times New Roman" w:cstheme="minorHAnsi"/>
          <w:b/>
          <w:bCs/>
          <w:sz w:val="24"/>
          <w:szCs w:val="24"/>
        </w:rPr>
        <w:t>4-12</w:t>
      </w:r>
      <w:r w:rsidRPr="00DC52FE">
        <w:rPr>
          <w:rFonts w:eastAsia="Times New Roman" w:cstheme="minorHAnsi"/>
          <w:b/>
          <w:bCs/>
          <w:sz w:val="24"/>
          <w:szCs w:val="24"/>
        </w:rPr>
        <w:t>-2012</w:t>
      </w:r>
    </w:p>
    <w:p w:rsidR="00DC52FE" w:rsidRPr="00DC52FE" w:rsidRDefault="00DC52FE" w:rsidP="00DC52FE">
      <w:pPr>
        <w:spacing w:before="100" w:beforeAutospacing="1" w:after="100" w:afterAutospacing="1" w:line="240" w:lineRule="auto"/>
        <w:outlineLvl w:val="3"/>
        <w:rPr>
          <w:rFonts w:eastAsia="Times New Roman" w:cstheme="minorHAnsi"/>
          <w:b/>
          <w:bCs/>
          <w:sz w:val="24"/>
          <w:szCs w:val="24"/>
        </w:rPr>
      </w:pPr>
      <w:r w:rsidRPr="00DC52FE">
        <w:rPr>
          <w:rFonts w:eastAsia="Times New Roman" w:cstheme="minorHAnsi"/>
          <w:b/>
          <w:bCs/>
          <w:sz w:val="24"/>
          <w:szCs w:val="24"/>
        </w:rPr>
        <w:t>PAC Drafting Conference Call</w:t>
      </w:r>
    </w:p>
    <w:p w:rsidR="00DC52FE" w:rsidRPr="00DC52FE" w:rsidRDefault="00DC52FE" w:rsidP="00DC52FE">
      <w:pPr>
        <w:spacing w:before="100" w:beforeAutospacing="1" w:after="100" w:afterAutospacing="1" w:line="240" w:lineRule="auto"/>
        <w:outlineLvl w:val="3"/>
        <w:rPr>
          <w:rFonts w:eastAsia="Times New Roman" w:cstheme="minorHAnsi"/>
          <w:b/>
          <w:bCs/>
          <w:sz w:val="24"/>
          <w:szCs w:val="24"/>
        </w:rPr>
      </w:pPr>
      <w:r w:rsidRPr="00DC52FE">
        <w:rPr>
          <w:rFonts w:eastAsia="Times New Roman" w:cstheme="minorHAnsi"/>
          <w:b/>
          <w:bCs/>
          <w:sz w:val="24"/>
          <w:szCs w:val="24"/>
        </w:rPr>
        <w:t>Attendees:</w:t>
      </w:r>
    </w:p>
    <w:p w:rsidR="00DC52FE" w:rsidRPr="0053791E" w:rsidRDefault="0053791E" w:rsidP="00DC52FE">
      <w:pPr>
        <w:spacing w:before="100" w:beforeAutospacing="1" w:after="100" w:afterAutospacing="1" w:line="240" w:lineRule="auto"/>
        <w:rPr>
          <w:rFonts w:ascii="Arial" w:hAnsi="Arial" w:cs="Arial"/>
          <w:color w:val="000000"/>
          <w:sz w:val="20"/>
          <w:szCs w:val="20"/>
          <w:shd w:val="clear" w:color="auto" w:fill="FAFAD2"/>
        </w:rPr>
      </w:pPr>
      <w:r>
        <w:rPr>
          <w:rFonts w:eastAsia="Times New Roman" w:cstheme="minorHAnsi"/>
          <w:sz w:val="24"/>
          <w:szCs w:val="24"/>
        </w:rPr>
        <w:t>Ann Geyer</w:t>
      </w:r>
      <w:r>
        <w:rPr>
          <w:rFonts w:eastAsia="Times New Roman" w:cstheme="minorHAnsi"/>
          <w:sz w:val="24"/>
          <w:szCs w:val="24"/>
        </w:rPr>
        <w:br/>
        <w:t>Collin Soutar</w:t>
      </w:r>
      <w:r>
        <w:rPr>
          <w:rFonts w:eastAsia="Times New Roman" w:cstheme="minorHAnsi"/>
          <w:sz w:val="24"/>
          <w:szCs w:val="24"/>
        </w:rPr>
        <w:br/>
      </w:r>
      <w:r w:rsidR="00DC52FE" w:rsidRPr="00DC52FE">
        <w:rPr>
          <w:rFonts w:eastAsia="Times New Roman" w:cstheme="minorHAnsi"/>
          <w:sz w:val="24"/>
          <w:szCs w:val="24"/>
        </w:rPr>
        <w:t>Nathan Faut</w:t>
      </w:r>
      <w:r w:rsidR="00DC52FE" w:rsidRPr="00DC52FE">
        <w:rPr>
          <w:rFonts w:eastAsia="Times New Roman" w:cstheme="minorHAnsi"/>
          <w:sz w:val="24"/>
          <w:szCs w:val="24"/>
        </w:rPr>
        <w:br/>
      </w:r>
      <w:r w:rsidR="002B09A5">
        <w:rPr>
          <w:rFonts w:eastAsia="Times New Roman" w:cstheme="minorHAnsi"/>
          <w:sz w:val="24"/>
          <w:szCs w:val="24"/>
        </w:rPr>
        <w:t xml:space="preserve">Tom </w:t>
      </w:r>
      <w:r w:rsidR="002B09A5" w:rsidRPr="002B09A5">
        <w:rPr>
          <w:rFonts w:eastAsia="Times New Roman" w:cstheme="minorHAnsi"/>
          <w:sz w:val="24"/>
          <w:szCs w:val="24"/>
        </w:rPr>
        <w:t>Smedinghoff</w:t>
      </w:r>
      <w:r>
        <w:rPr>
          <w:rFonts w:eastAsia="Times New Roman" w:cstheme="minorHAnsi"/>
          <w:sz w:val="24"/>
          <w:szCs w:val="24"/>
        </w:rPr>
        <w:br/>
        <w:t>Mark Lizar</w:t>
      </w:r>
      <w:r>
        <w:rPr>
          <w:rFonts w:eastAsia="Times New Roman" w:cstheme="minorHAnsi"/>
          <w:sz w:val="24"/>
          <w:szCs w:val="24"/>
        </w:rPr>
        <w:br/>
      </w:r>
      <w:r w:rsidR="00DC52FE" w:rsidRPr="00DC52FE">
        <w:rPr>
          <w:rFonts w:eastAsia="Times New Roman" w:cstheme="minorHAnsi"/>
          <w:sz w:val="24"/>
          <w:szCs w:val="24"/>
        </w:rPr>
        <w:br/>
      </w:r>
    </w:p>
    <w:p w:rsidR="0053791E" w:rsidRDefault="0053791E" w:rsidP="0053791E">
      <w:pPr>
        <w:pStyle w:val="ListParagraph"/>
        <w:numPr>
          <w:ilvl w:val="0"/>
          <w:numId w:val="10"/>
        </w:numPr>
        <w:rPr>
          <w:rFonts w:eastAsia="Times New Roman" w:cstheme="minorHAnsi"/>
          <w:b/>
          <w:bCs/>
          <w:sz w:val="24"/>
          <w:szCs w:val="24"/>
        </w:rPr>
      </w:pPr>
      <w:bookmarkStart w:id="0" w:name="P3WGMeetingMinutes2012-02-09-Minutes:"/>
      <w:bookmarkEnd w:id="0"/>
      <w:r w:rsidRPr="0053791E">
        <w:rPr>
          <w:rFonts w:eastAsia="Times New Roman" w:cstheme="minorHAnsi"/>
          <w:b/>
          <w:bCs/>
          <w:sz w:val="24"/>
          <w:szCs w:val="24"/>
        </w:rPr>
        <w:t>Drafting Discussion</w:t>
      </w:r>
      <w:r w:rsidR="00C32028">
        <w:rPr>
          <w:rFonts w:eastAsia="Times New Roman" w:cstheme="minorHAnsi"/>
          <w:b/>
          <w:bCs/>
          <w:sz w:val="24"/>
          <w:szCs w:val="24"/>
        </w:rPr>
        <w:t xml:space="preserve"> --General</w:t>
      </w:r>
    </w:p>
    <w:p w:rsidR="00C32028" w:rsidRDefault="00FC0524" w:rsidP="00FC0524">
      <w:pPr>
        <w:pStyle w:val="ListParagraph"/>
        <w:numPr>
          <w:ilvl w:val="1"/>
          <w:numId w:val="10"/>
        </w:numPr>
        <w:ind w:left="720"/>
        <w:rPr>
          <w:rFonts w:eastAsia="Times New Roman" w:cstheme="minorHAnsi"/>
          <w:bCs/>
          <w:sz w:val="24"/>
          <w:szCs w:val="24"/>
        </w:rPr>
      </w:pPr>
      <w:r>
        <w:rPr>
          <w:rFonts w:eastAsia="Times New Roman" w:cstheme="minorHAnsi"/>
          <w:bCs/>
          <w:sz w:val="24"/>
          <w:szCs w:val="24"/>
        </w:rPr>
        <w:t>Discussed general scope and intent of document.</w:t>
      </w:r>
    </w:p>
    <w:p w:rsidR="00FC0524" w:rsidRDefault="00FC0524" w:rsidP="00FC0524">
      <w:pPr>
        <w:pStyle w:val="ListParagraph"/>
        <w:numPr>
          <w:ilvl w:val="1"/>
          <w:numId w:val="10"/>
        </w:numPr>
        <w:ind w:left="720"/>
        <w:rPr>
          <w:rFonts w:eastAsia="Times New Roman" w:cstheme="minorHAnsi"/>
          <w:bCs/>
          <w:sz w:val="24"/>
          <w:szCs w:val="24"/>
        </w:rPr>
      </w:pPr>
      <w:r>
        <w:rPr>
          <w:rFonts w:eastAsia="Times New Roman" w:cstheme="minorHAnsi"/>
          <w:bCs/>
          <w:sz w:val="24"/>
          <w:szCs w:val="24"/>
        </w:rPr>
        <w:t>Clarified that the initial versus of the PAC will provide guidance to Kantara approved assessors about how to audit the privacy requirements applicable to CSPs issuing credentials under the US Federal Identity Profile.</w:t>
      </w:r>
      <w:r w:rsidR="009C4DB3">
        <w:rPr>
          <w:rFonts w:eastAsia="Times New Roman" w:cstheme="minorHAnsi"/>
          <w:bCs/>
          <w:sz w:val="24"/>
          <w:szCs w:val="24"/>
        </w:rPr>
        <w:t xml:space="preserve">  Guidance for assessing other national (jurisdictional) requirements can be incorporated into the PAC in the future. </w:t>
      </w:r>
    </w:p>
    <w:p w:rsidR="00FC0524" w:rsidRDefault="00FC0524" w:rsidP="00FC0524">
      <w:pPr>
        <w:pStyle w:val="ListParagraph"/>
        <w:numPr>
          <w:ilvl w:val="1"/>
          <w:numId w:val="10"/>
        </w:numPr>
        <w:ind w:left="720"/>
        <w:rPr>
          <w:rFonts w:eastAsia="Times New Roman" w:cstheme="minorHAnsi"/>
          <w:bCs/>
          <w:sz w:val="24"/>
          <w:szCs w:val="24"/>
        </w:rPr>
      </w:pPr>
      <w:r>
        <w:rPr>
          <w:rFonts w:eastAsia="Times New Roman" w:cstheme="minorHAnsi"/>
          <w:bCs/>
          <w:sz w:val="24"/>
          <w:szCs w:val="24"/>
        </w:rPr>
        <w:t xml:space="preserve">Discussed the distinction between an IdP (proofing) and CSP (credential issuing).  Clarified that the PAC will refer to the CSP function. </w:t>
      </w:r>
    </w:p>
    <w:p w:rsidR="00FC0524" w:rsidRDefault="00FC0524" w:rsidP="00FC0524">
      <w:pPr>
        <w:pStyle w:val="ListParagraph"/>
        <w:numPr>
          <w:ilvl w:val="1"/>
          <w:numId w:val="10"/>
        </w:numPr>
        <w:ind w:left="720"/>
        <w:rPr>
          <w:rFonts w:eastAsia="Times New Roman" w:cstheme="minorHAnsi"/>
          <w:bCs/>
          <w:sz w:val="24"/>
          <w:szCs w:val="24"/>
        </w:rPr>
      </w:pPr>
      <w:r>
        <w:rPr>
          <w:rFonts w:eastAsia="Times New Roman" w:cstheme="minorHAnsi"/>
          <w:bCs/>
          <w:sz w:val="24"/>
          <w:szCs w:val="24"/>
        </w:rPr>
        <w:t>Discussed the need to understand and then describe for the assessor how the PAC fits into the Kantara Assurance Framework—perhaps a document map would be useful for this purpose.</w:t>
      </w:r>
    </w:p>
    <w:p w:rsidR="00FC0524" w:rsidRDefault="00FC0524" w:rsidP="00FC0524">
      <w:pPr>
        <w:pStyle w:val="ListParagraph"/>
        <w:numPr>
          <w:ilvl w:val="1"/>
          <w:numId w:val="10"/>
        </w:numPr>
        <w:ind w:left="720"/>
        <w:rPr>
          <w:rFonts w:eastAsia="Times New Roman" w:cstheme="minorHAnsi"/>
          <w:bCs/>
          <w:sz w:val="24"/>
          <w:szCs w:val="24"/>
        </w:rPr>
      </w:pPr>
      <w:r>
        <w:rPr>
          <w:rFonts w:eastAsia="Times New Roman" w:cstheme="minorHAnsi"/>
          <w:bCs/>
          <w:sz w:val="24"/>
          <w:szCs w:val="24"/>
        </w:rPr>
        <w:t>Discussed the confusion about whether the US Federal Profile is a FICAM or Kantara document.  Clarified that FICAM has a Profile and the “Additional Requirements” document is how Kantara incorporated the FICAM profile into its document suite.</w:t>
      </w:r>
    </w:p>
    <w:p w:rsidR="009C4DB3" w:rsidRDefault="009C4DB3" w:rsidP="00FC0524">
      <w:pPr>
        <w:pStyle w:val="ListParagraph"/>
        <w:numPr>
          <w:ilvl w:val="1"/>
          <w:numId w:val="10"/>
        </w:numPr>
        <w:ind w:left="720"/>
        <w:rPr>
          <w:rFonts w:eastAsia="Times New Roman" w:cstheme="minorHAnsi"/>
          <w:bCs/>
          <w:sz w:val="24"/>
          <w:szCs w:val="24"/>
        </w:rPr>
      </w:pPr>
      <w:r>
        <w:rPr>
          <w:rFonts w:eastAsia="Times New Roman" w:cstheme="minorHAnsi"/>
          <w:bCs/>
          <w:sz w:val="24"/>
          <w:szCs w:val="24"/>
        </w:rPr>
        <w:t>Discussed whether the PAC should introduce via guidance, additional privacy requirements.  Decided that guidance should address requirements already approved by Kantara.  If additional privacy requirements are warranted, this question and related work items should be framed and managed at the P3WG level, not the PAC drafting level.  Note—strong support exists among several P3WG members that more privacy protection is warranted.</w:t>
      </w:r>
    </w:p>
    <w:p w:rsidR="00FC0524" w:rsidRDefault="009C4DB3" w:rsidP="00FC0524">
      <w:pPr>
        <w:pStyle w:val="ListParagraph"/>
        <w:numPr>
          <w:ilvl w:val="1"/>
          <w:numId w:val="10"/>
        </w:numPr>
        <w:ind w:left="720"/>
        <w:rPr>
          <w:rFonts w:eastAsia="Times New Roman" w:cstheme="minorHAnsi"/>
          <w:bCs/>
          <w:sz w:val="24"/>
          <w:szCs w:val="24"/>
        </w:rPr>
      </w:pPr>
      <w:r>
        <w:rPr>
          <w:rFonts w:eastAsia="Times New Roman" w:cstheme="minorHAnsi"/>
          <w:bCs/>
          <w:sz w:val="24"/>
          <w:szCs w:val="24"/>
        </w:rPr>
        <w:t>Discussed how best to organize the PAC drafting effort.  Decided to take each numbered requirement of the Profile in order.  After we have completed a couple requirement paragraphs, we can reassess the question of what guidance may be needed of a general nature.</w:t>
      </w:r>
    </w:p>
    <w:p w:rsidR="009C4DB3" w:rsidRDefault="009C4DB3" w:rsidP="009C4DB3">
      <w:pPr>
        <w:pStyle w:val="ListParagraph"/>
        <w:rPr>
          <w:rFonts w:eastAsia="Times New Roman" w:cstheme="minorHAnsi"/>
          <w:bCs/>
          <w:sz w:val="24"/>
          <w:szCs w:val="24"/>
        </w:rPr>
      </w:pPr>
    </w:p>
    <w:p w:rsidR="00C32028" w:rsidRDefault="00C32028" w:rsidP="00C32028">
      <w:pPr>
        <w:pStyle w:val="ListParagraph"/>
        <w:numPr>
          <w:ilvl w:val="0"/>
          <w:numId w:val="10"/>
        </w:numPr>
        <w:rPr>
          <w:rFonts w:eastAsia="Times New Roman" w:cstheme="minorHAnsi"/>
          <w:b/>
          <w:bCs/>
          <w:sz w:val="24"/>
          <w:szCs w:val="24"/>
        </w:rPr>
      </w:pPr>
      <w:r w:rsidRPr="0053791E">
        <w:rPr>
          <w:rFonts w:eastAsia="Times New Roman" w:cstheme="minorHAnsi"/>
          <w:b/>
          <w:bCs/>
          <w:sz w:val="24"/>
          <w:szCs w:val="24"/>
        </w:rPr>
        <w:t>Drafting Discussion</w:t>
      </w:r>
      <w:r w:rsidR="00FC0524">
        <w:rPr>
          <w:rFonts w:eastAsia="Times New Roman" w:cstheme="minorHAnsi"/>
          <w:b/>
          <w:bCs/>
          <w:sz w:val="24"/>
          <w:szCs w:val="24"/>
        </w:rPr>
        <w:t xml:space="preserve"> – Informed Consent #2.1</w:t>
      </w:r>
    </w:p>
    <w:p w:rsidR="00C32028" w:rsidRDefault="00C32028" w:rsidP="00C32028">
      <w:pPr>
        <w:pStyle w:val="ListParagraph"/>
        <w:numPr>
          <w:ilvl w:val="1"/>
          <w:numId w:val="10"/>
        </w:numPr>
        <w:ind w:left="720"/>
        <w:rPr>
          <w:rFonts w:eastAsia="Times New Roman" w:cstheme="minorHAnsi"/>
          <w:bCs/>
          <w:sz w:val="24"/>
          <w:szCs w:val="24"/>
        </w:rPr>
      </w:pPr>
      <w:r>
        <w:rPr>
          <w:rFonts w:eastAsia="Times New Roman" w:cstheme="minorHAnsi"/>
          <w:bCs/>
          <w:sz w:val="24"/>
          <w:szCs w:val="24"/>
        </w:rPr>
        <w:lastRenderedPageBreak/>
        <w:t>Disc</w:t>
      </w:r>
      <w:r w:rsidR="009C4DB3">
        <w:rPr>
          <w:rFonts w:eastAsia="Times New Roman" w:cstheme="minorHAnsi"/>
          <w:bCs/>
          <w:sz w:val="24"/>
          <w:szCs w:val="24"/>
        </w:rPr>
        <w:t>ussed how to interpret the requirement that the registration process be “clearly separate.”  Consensus that this means that the process of collecting registr</w:t>
      </w:r>
      <w:r w:rsidR="001C5591">
        <w:rPr>
          <w:rFonts w:eastAsia="Times New Roman" w:cstheme="minorHAnsi"/>
          <w:bCs/>
          <w:sz w:val="24"/>
          <w:szCs w:val="24"/>
        </w:rPr>
        <w:t>ation information be distinct from other processes and recognizably distinct to the individual registering.  We could not reach a decision on whether the separation statement also meant to include the physical location at which the registration information is collected, processed, and maintained.  This issue is put on the parking lot for further discussion.</w:t>
      </w:r>
    </w:p>
    <w:p w:rsidR="001C5591" w:rsidRDefault="001C5591" w:rsidP="001C5591">
      <w:pPr>
        <w:pStyle w:val="ListParagraph"/>
        <w:numPr>
          <w:ilvl w:val="1"/>
          <w:numId w:val="10"/>
        </w:numPr>
        <w:ind w:left="720"/>
        <w:rPr>
          <w:rFonts w:eastAsia="Times New Roman" w:cstheme="minorHAnsi"/>
          <w:bCs/>
          <w:sz w:val="24"/>
          <w:szCs w:val="24"/>
        </w:rPr>
      </w:pPr>
      <w:r>
        <w:rPr>
          <w:rFonts w:eastAsia="Times New Roman" w:cstheme="minorHAnsi"/>
          <w:bCs/>
          <w:sz w:val="24"/>
          <w:szCs w:val="24"/>
        </w:rPr>
        <w:t>Clarifie</w:t>
      </w:r>
      <w:r>
        <w:rPr>
          <w:rFonts w:eastAsia="Times New Roman" w:cstheme="minorHAnsi"/>
          <w:bCs/>
          <w:sz w:val="24"/>
          <w:szCs w:val="24"/>
        </w:rPr>
        <w:t>d the guidance should</w:t>
      </w:r>
      <w:r>
        <w:rPr>
          <w:rFonts w:eastAsia="Times New Roman" w:cstheme="minorHAnsi"/>
          <w:bCs/>
          <w:sz w:val="24"/>
          <w:szCs w:val="24"/>
        </w:rPr>
        <w:t xml:space="preserve"> include what “evidence” is recommended to verify that a requirement is met.</w:t>
      </w:r>
    </w:p>
    <w:p w:rsidR="001C5591" w:rsidRDefault="001C5591" w:rsidP="00C32028">
      <w:pPr>
        <w:pStyle w:val="ListParagraph"/>
        <w:numPr>
          <w:ilvl w:val="1"/>
          <w:numId w:val="10"/>
        </w:numPr>
        <w:ind w:left="720"/>
        <w:rPr>
          <w:rFonts w:eastAsia="Times New Roman" w:cstheme="minorHAnsi"/>
          <w:bCs/>
          <w:sz w:val="24"/>
          <w:szCs w:val="24"/>
        </w:rPr>
      </w:pPr>
      <w:r>
        <w:rPr>
          <w:rFonts w:eastAsia="Times New Roman" w:cstheme="minorHAnsi"/>
          <w:bCs/>
          <w:sz w:val="24"/>
          <w:szCs w:val="24"/>
        </w:rPr>
        <w:t>Clarified that we should use, where appropriate, the terms—OBSERVE, INQUIRE, INSPECT—to organize the recommended actions of the auditor and to organize the manner in which evidence is obtained.  These terms are standard terminology to auditors.</w:t>
      </w:r>
    </w:p>
    <w:p w:rsidR="001C5591" w:rsidRDefault="001C5591" w:rsidP="001C5591">
      <w:pPr>
        <w:pStyle w:val="ListParagraph"/>
        <w:numPr>
          <w:ilvl w:val="1"/>
          <w:numId w:val="10"/>
        </w:numPr>
        <w:ind w:left="720"/>
        <w:rPr>
          <w:rFonts w:eastAsia="Times New Roman" w:cstheme="minorHAnsi"/>
          <w:bCs/>
          <w:sz w:val="24"/>
          <w:szCs w:val="24"/>
        </w:rPr>
      </w:pPr>
      <w:r>
        <w:rPr>
          <w:rFonts w:eastAsia="Times New Roman" w:cstheme="minorHAnsi"/>
          <w:bCs/>
          <w:sz w:val="24"/>
          <w:szCs w:val="24"/>
        </w:rPr>
        <w:t>OBSERVE—the process of registering an individual is distinct from all other CSP functions.</w:t>
      </w:r>
    </w:p>
    <w:p w:rsidR="001C5591" w:rsidRDefault="001C5591" w:rsidP="001C5591">
      <w:pPr>
        <w:pStyle w:val="ListParagraph"/>
        <w:numPr>
          <w:ilvl w:val="1"/>
          <w:numId w:val="10"/>
        </w:numPr>
        <w:ind w:left="720"/>
        <w:rPr>
          <w:rFonts w:eastAsia="Times New Roman" w:cstheme="minorHAnsi"/>
          <w:bCs/>
          <w:sz w:val="24"/>
          <w:szCs w:val="24"/>
        </w:rPr>
      </w:pPr>
      <w:r>
        <w:rPr>
          <w:rFonts w:eastAsia="Times New Roman" w:cstheme="minorHAnsi"/>
          <w:bCs/>
          <w:sz w:val="24"/>
          <w:szCs w:val="24"/>
        </w:rPr>
        <w:t xml:space="preserve">INSPECT—the CSP has clearly described the services </w:t>
      </w:r>
      <w:r w:rsidR="00DA5CEF">
        <w:rPr>
          <w:rFonts w:eastAsia="Times New Roman" w:cstheme="minorHAnsi"/>
          <w:bCs/>
          <w:sz w:val="24"/>
          <w:szCs w:val="24"/>
        </w:rPr>
        <w:t xml:space="preserve">offered </w:t>
      </w:r>
      <w:r>
        <w:rPr>
          <w:rFonts w:eastAsia="Times New Roman" w:cstheme="minorHAnsi"/>
          <w:bCs/>
          <w:sz w:val="24"/>
          <w:szCs w:val="24"/>
        </w:rPr>
        <w:t xml:space="preserve">in language understandable by the targeted </w:t>
      </w:r>
      <w:r w:rsidR="00DA5CEF">
        <w:rPr>
          <w:rFonts w:eastAsia="Times New Roman" w:cstheme="minorHAnsi"/>
          <w:bCs/>
          <w:sz w:val="24"/>
          <w:szCs w:val="24"/>
        </w:rPr>
        <w:t>population.  The service description should align closely with the Kantara SAC.  Guidance may point to the AICPA SOC webtrust for CA.</w:t>
      </w:r>
    </w:p>
    <w:p w:rsidR="00DA5CEF" w:rsidRDefault="00DA5CEF" w:rsidP="001C5591">
      <w:pPr>
        <w:pStyle w:val="ListParagraph"/>
        <w:numPr>
          <w:ilvl w:val="1"/>
          <w:numId w:val="10"/>
        </w:numPr>
        <w:ind w:left="720"/>
        <w:rPr>
          <w:rFonts w:eastAsia="Times New Roman" w:cstheme="minorHAnsi"/>
          <w:bCs/>
          <w:sz w:val="24"/>
          <w:szCs w:val="24"/>
        </w:rPr>
      </w:pPr>
      <w:r>
        <w:rPr>
          <w:rFonts w:eastAsia="Times New Roman" w:cstheme="minorHAnsi"/>
          <w:bCs/>
          <w:sz w:val="24"/>
          <w:szCs w:val="24"/>
        </w:rPr>
        <w:t>EVIDENCE of the informed consent</w:t>
      </w:r>
      <w:r>
        <w:rPr>
          <w:rFonts w:eastAsia="Times New Roman" w:cstheme="minorHAnsi"/>
          <w:bCs/>
          <w:sz w:val="24"/>
          <w:szCs w:val="24"/>
        </w:rPr>
        <w:br/>
        <w:t xml:space="preserve">At a minimum, evidence of the individual’s name, signature, date and time of signature </w:t>
      </w:r>
      <w:r>
        <w:rPr>
          <w:rFonts w:eastAsia="Times New Roman" w:cstheme="minorHAnsi"/>
          <w:bCs/>
          <w:sz w:val="24"/>
          <w:szCs w:val="24"/>
        </w:rPr>
        <w:br/>
        <w:t>OBSERVE this evidence is created during the registration process</w:t>
      </w:r>
      <w:r>
        <w:rPr>
          <w:rFonts w:eastAsia="Times New Roman" w:cstheme="minorHAnsi"/>
          <w:bCs/>
          <w:sz w:val="24"/>
          <w:szCs w:val="24"/>
        </w:rPr>
        <w:br/>
        <w:t>INSPECT that this evidence is maintain over the credential lifecycle</w:t>
      </w:r>
    </w:p>
    <w:p w:rsidR="00DA5CEF" w:rsidRPr="001C5591" w:rsidRDefault="00DA5CEF" w:rsidP="001C5591">
      <w:pPr>
        <w:pStyle w:val="ListParagraph"/>
        <w:numPr>
          <w:ilvl w:val="1"/>
          <w:numId w:val="10"/>
        </w:numPr>
        <w:ind w:left="720"/>
        <w:rPr>
          <w:rFonts w:eastAsia="Times New Roman" w:cstheme="minorHAnsi"/>
          <w:bCs/>
          <w:sz w:val="24"/>
          <w:szCs w:val="24"/>
        </w:rPr>
      </w:pPr>
      <w:r>
        <w:rPr>
          <w:rFonts w:eastAsia="Times New Roman" w:cstheme="minorHAnsi"/>
          <w:bCs/>
          <w:sz w:val="24"/>
          <w:szCs w:val="24"/>
        </w:rPr>
        <w:t>The CSP may use the industry standard web privacy policy to provide notice and scope for the informed consent.  The policy should include at a minimum, what information about the individual is collected, how it is used over the lifecycle of the information, what is the expected lifecycle.</w:t>
      </w:r>
      <w:r>
        <w:rPr>
          <w:rFonts w:eastAsia="Times New Roman" w:cstheme="minorHAnsi"/>
          <w:bCs/>
          <w:sz w:val="24"/>
          <w:szCs w:val="24"/>
        </w:rPr>
        <w:br/>
      </w:r>
    </w:p>
    <w:p w:rsidR="00CF4C54" w:rsidRDefault="00CF4C54" w:rsidP="00CF4C54">
      <w:pPr>
        <w:pStyle w:val="ListParagraph"/>
        <w:numPr>
          <w:ilvl w:val="0"/>
          <w:numId w:val="10"/>
        </w:numPr>
        <w:rPr>
          <w:rFonts w:eastAsia="Times New Roman" w:cstheme="minorHAnsi"/>
          <w:b/>
          <w:bCs/>
          <w:sz w:val="24"/>
          <w:szCs w:val="24"/>
        </w:rPr>
      </w:pPr>
      <w:r>
        <w:rPr>
          <w:rFonts w:eastAsia="Times New Roman" w:cstheme="minorHAnsi"/>
          <w:b/>
          <w:bCs/>
          <w:sz w:val="24"/>
          <w:szCs w:val="24"/>
        </w:rPr>
        <w:t xml:space="preserve"> Parking Lot Items</w:t>
      </w:r>
    </w:p>
    <w:p w:rsidR="00F8639A" w:rsidRPr="00F8639A" w:rsidRDefault="001C5591" w:rsidP="00CF4C54">
      <w:pPr>
        <w:pStyle w:val="ListParagraph"/>
        <w:numPr>
          <w:ilvl w:val="1"/>
          <w:numId w:val="10"/>
        </w:numPr>
        <w:ind w:left="720"/>
        <w:rPr>
          <w:rFonts w:eastAsia="Times New Roman" w:cstheme="minorHAnsi"/>
          <w:bCs/>
          <w:sz w:val="24"/>
          <w:szCs w:val="24"/>
        </w:rPr>
      </w:pPr>
      <w:r>
        <w:rPr>
          <w:rFonts w:eastAsia="Times New Roman" w:cstheme="minorHAnsi"/>
          <w:bCs/>
          <w:sz w:val="24"/>
          <w:szCs w:val="24"/>
        </w:rPr>
        <w:t>Does the phrase “registration must be clearly separate” extend to the physical environment?</w:t>
      </w:r>
    </w:p>
    <w:p w:rsidR="00CF4C54" w:rsidRDefault="00CF4C54" w:rsidP="004A211A">
      <w:pPr>
        <w:pStyle w:val="ListParagraph"/>
        <w:rPr>
          <w:rFonts w:eastAsia="Times New Roman" w:cstheme="minorHAnsi"/>
          <w:b/>
          <w:bCs/>
          <w:sz w:val="24"/>
          <w:szCs w:val="24"/>
        </w:rPr>
      </w:pPr>
      <w:r>
        <w:rPr>
          <w:rFonts w:eastAsia="Times New Roman" w:cstheme="minorHAnsi"/>
          <w:b/>
          <w:bCs/>
          <w:sz w:val="24"/>
          <w:szCs w:val="24"/>
        </w:rPr>
        <w:t xml:space="preserve">   </w:t>
      </w:r>
    </w:p>
    <w:p w:rsidR="0053791E" w:rsidRDefault="0053791E" w:rsidP="0053791E">
      <w:pPr>
        <w:pStyle w:val="ListParagraph"/>
        <w:numPr>
          <w:ilvl w:val="0"/>
          <w:numId w:val="10"/>
        </w:numPr>
        <w:rPr>
          <w:rFonts w:eastAsia="Times New Roman" w:cstheme="minorHAnsi"/>
          <w:b/>
          <w:bCs/>
          <w:sz w:val="24"/>
          <w:szCs w:val="24"/>
        </w:rPr>
      </w:pPr>
      <w:r w:rsidRPr="0053791E">
        <w:rPr>
          <w:rFonts w:eastAsia="Times New Roman" w:cstheme="minorHAnsi"/>
          <w:b/>
          <w:bCs/>
          <w:sz w:val="24"/>
          <w:szCs w:val="24"/>
        </w:rPr>
        <w:t>Tasks Assigned</w:t>
      </w:r>
    </w:p>
    <w:p w:rsidR="00C32028" w:rsidRDefault="002D1290" w:rsidP="00CF4C54">
      <w:pPr>
        <w:pStyle w:val="ListParagraph"/>
        <w:numPr>
          <w:ilvl w:val="0"/>
          <w:numId w:val="11"/>
        </w:numPr>
        <w:rPr>
          <w:rFonts w:eastAsia="Times New Roman" w:cstheme="minorHAnsi"/>
          <w:bCs/>
          <w:sz w:val="24"/>
          <w:szCs w:val="24"/>
        </w:rPr>
      </w:pPr>
      <w:r>
        <w:rPr>
          <w:rFonts w:eastAsia="Times New Roman" w:cstheme="minorHAnsi"/>
          <w:bCs/>
          <w:sz w:val="24"/>
          <w:szCs w:val="24"/>
        </w:rPr>
        <w:t>Ask the Kantara ARB for a</w:t>
      </w:r>
      <w:r w:rsidR="00DA5CEF">
        <w:rPr>
          <w:rFonts w:eastAsia="Times New Roman" w:cstheme="minorHAnsi"/>
          <w:bCs/>
          <w:sz w:val="24"/>
          <w:szCs w:val="24"/>
        </w:rPr>
        <w:t xml:space="preserve"> description of its role and </w:t>
      </w:r>
      <w:r>
        <w:rPr>
          <w:rFonts w:eastAsia="Times New Roman" w:cstheme="minorHAnsi"/>
          <w:bCs/>
          <w:sz w:val="24"/>
          <w:szCs w:val="24"/>
        </w:rPr>
        <w:t xml:space="preserve">its </w:t>
      </w:r>
      <w:r w:rsidR="00DA5CEF">
        <w:rPr>
          <w:rFonts w:eastAsia="Times New Roman" w:cstheme="minorHAnsi"/>
          <w:bCs/>
          <w:sz w:val="24"/>
          <w:szCs w:val="24"/>
        </w:rPr>
        <w:t>expectation</w:t>
      </w:r>
      <w:r>
        <w:rPr>
          <w:rFonts w:eastAsia="Times New Roman" w:cstheme="minorHAnsi"/>
          <w:bCs/>
          <w:sz w:val="24"/>
          <w:szCs w:val="24"/>
        </w:rPr>
        <w:t>s</w:t>
      </w:r>
      <w:bookmarkStart w:id="1" w:name="_GoBack"/>
      <w:bookmarkEnd w:id="1"/>
      <w:r w:rsidR="00DA5CEF">
        <w:rPr>
          <w:rFonts w:eastAsia="Times New Roman" w:cstheme="minorHAnsi"/>
          <w:bCs/>
          <w:sz w:val="24"/>
          <w:szCs w:val="24"/>
        </w:rPr>
        <w:t xml:space="preserve"> of assessors to include in the PAC introductory sections.  Nathan Laut</w:t>
      </w:r>
    </w:p>
    <w:p w:rsidR="00CF4C54" w:rsidRPr="0053791E" w:rsidRDefault="00CF4C54" w:rsidP="00C34881">
      <w:pPr>
        <w:pStyle w:val="ListParagraph"/>
        <w:rPr>
          <w:rFonts w:eastAsia="Times New Roman" w:cstheme="minorHAnsi"/>
          <w:bCs/>
          <w:sz w:val="24"/>
          <w:szCs w:val="24"/>
        </w:rPr>
      </w:pPr>
    </w:p>
    <w:p w:rsidR="00DA5CEF" w:rsidRDefault="0053791E" w:rsidP="0053791E">
      <w:pPr>
        <w:pStyle w:val="ListParagraph"/>
        <w:numPr>
          <w:ilvl w:val="0"/>
          <w:numId w:val="10"/>
        </w:numPr>
        <w:rPr>
          <w:rFonts w:eastAsia="Times New Roman" w:cstheme="minorHAnsi"/>
          <w:b/>
          <w:bCs/>
          <w:sz w:val="24"/>
          <w:szCs w:val="24"/>
        </w:rPr>
      </w:pPr>
      <w:r w:rsidRPr="0053791E">
        <w:rPr>
          <w:rFonts w:eastAsia="Times New Roman" w:cstheme="minorHAnsi"/>
          <w:b/>
          <w:bCs/>
          <w:sz w:val="24"/>
          <w:szCs w:val="24"/>
        </w:rPr>
        <w:t>Items Referred to Full P3WG</w:t>
      </w:r>
    </w:p>
    <w:p w:rsidR="00DA5CEF" w:rsidRPr="00DA5CEF" w:rsidRDefault="00DA5CEF" w:rsidP="00DA5CEF">
      <w:pPr>
        <w:pStyle w:val="ListParagraph"/>
        <w:numPr>
          <w:ilvl w:val="1"/>
          <w:numId w:val="10"/>
        </w:numPr>
        <w:ind w:left="720"/>
        <w:rPr>
          <w:rFonts w:eastAsia="Times New Roman" w:cstheme="minorHAnsi"/>
          <w:b/>
          <w:bCs/>
          <w:sz w:val="24"/>
          <w:szCs w:val="24"/>
        </w:rPr>
      </w:pPr>
      <w:r>
        <w:rPr>
          <w:rFonts w:eastAsia="Times New Roman" w:cstheme="minorHAnsi"/>
          <w:bCs/>
          <w:sz w:val="24"/>
          <w:szCs w:val="24"/>
        </w:rPr>
        <w:t>Clarify the scope of the PAC—are new or augmented privacy requirements appropriate for the PAC?  Tom and Colin will work on a charter document to sort this issue out.</w:t>
      </w:r>
    </w:p>
    <w:p w:rsidR="0053791E" w:rsidRPr="00CF4C54" w:rsidRDefault="00DA5CEF" w:rsidP="00DA5CEF">
      <w:pPr>
        <w:pStyle w:val="ListParagraph"/>
        <w:rPr>
          <w:rFonts w:eastAsia="Times New Roman" w:cstheme="minorHAnsi"/>
          <w:b/>
          <w:bCs/>
          <w:sz w:val="24"/>
          <w:szCs w:val="24"/>
        </w:rPr>
      </w:pPr>
      <w:r>
        <w:rPr>
          <w:rFonts w:eastAsia="Times New Roman" w:cstheme="minorHAnsi"/>
          <w:bCs/>
          <w:sz w:val="24"/>
          <w:szCs w:val="24"/>
        </w:rPr>
        <w:t xml:space="preserve"> </w:t>
      </w:r>
    </w:p>
    <w:p w:rsidR="0053791E" w:rsidRPr="0053791E" w:rsidRDefault="0053791E" w:rsidP="0053791E">
      <w:pPr>
        <w:pStyle w:val="ListParagraph"/>
        <w:numPr>
          <w:ilvl w:val="0"/>
          <w:numId w:val="10"/>
        </w:numPr>
        <w:rPr>
          <w:rFonts w:eastAsia="Times New Roman" w:cstheme="minorHAnsi"/>
          <w:b/>
          <w:bCs/>
          <w:sz w:val="24"/>
          <w:szCs w:val="24"/>
        </w:rPr>
      </w:pPr>
      <w:r w:rsidRPr="0053791E">
        <w:rPr>
          <w:rFonts w:eastAsia="Times New Roman" w:cstheme="minorHAnsi"/>
          <w:b/>
          <w:bCs/>
          <w:sz w:val="24"/>
          <w:szCs w:val="24"/>
        </w:rPr>
        <w:lastRenderedPageBreak/>
        <w:t>Attachments</w:t>
      </w:r>
      <w:r>
        <w:rPr>
          <w:rFonts w:eastAsia="Times New Roman" w:cstheme="minorHAnsi"/>
          <w:b/>
          <w:bCs/>
          <w:sz w:val="24"/>
          <w:szCs w:val="24"/>
        </w:rPr>
        <w:t xml:space="preserve">: </w:t>
      </w:r>
      <w:r>
        <w:rPr>
          <w:rFonts w:eastAsia="Times New Roman" w:cstheme="minorHAnsi"/>
          <w:bCs/>
          <w:sz w:val="24"/>
          <w:szCs w:val="24"/>
        </w:rPr>
        <w:t>none</w:t>
      </w:r>
    </w:p>
    <w:p w:rsidR="00DC52FE" w:rsidRPr="00DC52FE" w:rsidRDefault="00DC52FE" w:rsidP="00DC52FE">
      <w:pPr>
        <w:rPr>
          <w:rFonts w:cstheme="minorHAnsi"/>
        </w:rPr>
      </w:pPr>
    </w:p>
    <w:sectPr w:rsidR="00DC52FE" w:rsidRPr="00DC5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D2186"/>
    <w:multiLevelType w:val="multilevel"/>
    <w:tmpl w:val="7490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AC4918"/>
    <w:multiLevelType w:val="multilevel"/>
    <w:tmpl w:val="D19E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CE5F5A"/>
    <w:multiLevelType w:val="multilevel"/>
    <w:tmpl w:val="A246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E202FF"/>
    <w:multiLevelType w:val="hybridMultilevel"/>
    <w:tmpl w:val="2B945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3738C1"/>
    <w:multiLevelType w:val="multilevel"/>
    <w:tmpl w:val="EF56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8E1F0D"/>
    <w:multiLevelType w:val="multilevel"/>
    <w:tmpl w:val="DE52B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257660"/>
    <w:multiLevelType w:val="hybridMultilevel"/>
    <w:tmpl w:val="0E2851D0"/>
    <w:lvl w:ilvl="0" w:tplc="E17606E6">
      <w:start w:val="1"/>
      <w:numFmt w:val="decimal"/>
      <w:lvlText w:val="%1."/>
      <w:lvlJc w:val="left"/>
      <w:pPr>
        <w:ind w:left="720" w:hanging="360"/>
      </w:pPr>
      <w:rPr>
        <w:rFonts w:ascii="Times New Roman" w:eastAsia="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6E7C9F"/>
    <w:multiLevelType w:val="multilevel"/>
    <w:tmpl w:val="42DC7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677AC5"/>
    <w:multiLevelType w:val="hybridMultilevel"/>
    <w:tmpl w:val="76C24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A53C95"/>
    <w:multiLevelType w:val="hybridMultilevel"/>
    <w:tmpl w:val="2C341FE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FA76D24"/>
    <w:multiLevelType w:val="hybridMultilevel"/>
    <w:tmpl w:val="83B0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7"/>
  </w:num>
  <w:num w:numId="7">
    <w:abstractNumId w:val="6"/>
  </w:num>
  <w:num w:numId="8">
    <w:abstractNumId w:val="8"/>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FE"/>
    <w:rsid w:val="000F2BFA"/>
    <w:rsid w:val="001C5591"/>
    <w:rsid w:val="002B09A5"/>
    <w:rsid w:val="002D1290"/>
    <w:rsid w:val="003E2790"/>
    <w:rsid w:val="004852D5"/>
    <w:rsid w:val="004A211A"/>
    <w:rsid w:val="0053791E"/>
    <w:rsid w:val="0071609F"/>
    <w:rsid w:val="0071790F"/>
    <w:rsid w:val="009C4DB3"/>
    <w:rsid w:val="00A93E29"/>
    <w:rsid w:val="00B64865"/>
    <w:rsid w:val="00C32028"/>
    <w:rsid w:val="00C34881"/>
    <w:rsid w:val="00CF4C54"/>
    <w:rsid w:val="00DA5CEF"/>
    <w:rsid w:val="00DC52FE"/>
    <w:rsid w:val="00DE342D"/>
    <w:rsid w:val="00ED5FF9"/>
    <w:rsid w:val="00F8639A"/>
    <w:rsid w:val="00FC0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C52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C52F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C52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52FE"/>
    <w:rPr>
      <w:color w:val="0000FF"/>
      <w:u w:val="single"/>
    </w:rPr>
  </w:style>
  <w:style w:type="paragraph" w:styleId="ListParagraph">
    <w:name w:val="List Paragraph"/>
    <w:basedOn w:val="Normal"/>
    <w:uiPriority w:val="34"/>
    <w:qFormat/>
    <w:rsid w:val="00DC52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C52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C52F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C52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52FE"/>
    <w:rPr>
      <w:color w:val="0000FF"/>
      <w:u w:val="single"/>
    </w:rPr>
  </w:style>
  <w:style w:type="paragraph" w:styleId="ListParagraph">
    <w:name w:val="List Paragraph"/>
    <w:basedOn w:val="Normal"/>
    <w:uiPriority w:val="34"/>
    <w:qFormat/>
    <w:rsid w:val="00DC5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88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Geyer</dc:creator>
  <cp:lastModifiedBy>AGeyer</cp:lastModifiedBy>
  <cp:revision>5</cp:revision>
  <dcterms:created xsi:type="dcterms:W3CDTF">2012-06-14T15:56:00Z</dcterms:created>
  <dcterms:modified xsi:type="dcterms:W3CDTF">2012-06-15T12:29:00Z</dcterms:modified>
</cp:coreProperties>
</file>