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9" w:rsidRPr="009D754E" w:rsidRDefault="009D754E">
      <w:pPr>
        <w:rPr>
          <w:b/>
        </w:rPr>
      </w:pPr>
      <w:r w:rsidRPr="009D754E">
        <w:rPr>
          <w:b/>
        </w:rPr>
        <w:t>PRIVACY FRAMEWORK</w:t>
      </w:r>
    </w:p>
    <w:p w:rsidR="009D754E" w:rsidRPr="009D754E" w:rsidRDefault="009D754E">
      <w:pPr>
        <w:rPr>
          <w:b/>
        </w:rPr>
      </w:pPr>
      <w:r w:rsidRPr="009D754E">
        <w:rPr>
          <w:b/>
        </w:rPr>
        <w:t>General Description</w:t>
      </w:r>
    </w:p>
    <w:p w:rsidR="009D754E" w:rsidRPr="009D754E" w:rsidRDefault="009D754E">
      <w:pPr>
        <w:rPr>
          <w:b/>
        </w:rPr>
      </w:pPr>
      <w:r w:rsidRPr="009D754E">
        <w:rPr>
          <w:b/>
        </w:rPr>
        <w:t>Draft 15 April 2011</w:t>
      </w:r>
    </w:p>
    <w:p w:rsidR="009D754E" w:rsidRDefault="009D754E">
      <w:r w:rsidRPr="005872BA">
        <w:rPr>
          <w:b/>
        </w:rPr>
        <w:t>Kantara Initiative Mission</w:t>
      </w:r>
      <w:r>
        <w:t>:</w:t>
      </w:r>
      <w:r w:rsidR="00371399">
        <w:t xml:space="preserve"> </w:t>
      </w:r>
      <w:r>
        <w:t xml:space="preserve">Foster identity community harmonization, interoperability, innovation, and broad adoption through the development of open identity specifications, operational frameworks, education programs, </w:t>
      </w:r>
      <w:proofErr w:type="gramStart"/>
      <w:r>
        <w:t>deployment</w:t>
      </w:r>
      <w:proofErr w:type="gramEnd"/>
      <w:r>
        <w:t xml:space="preserve"> and usage best practices for privacy-respecting, secure access to online services.</w:t>
      </w:r>
    </w:p>
    <w:p w:rsidR="005872BA" w:rsidRDefault="005872BA"/>
    <w:p w:rsidR="00371399" w:rsidRDefault="00371399" w:rsidP="00371399">
      <w:r>
        <w:t xml:space="preserve">The privacy environment for identity federations is multi-layered and complex. </w:t>
      </w:r>
      <w:r w:rsidR="00EA77CC">
        <w:t xml:space="preserve">All participants in an identity federation must comply with </w:t>
      </w:r>
      <w:r>
        <w:t>applicable statutes, regulations, and in some industries, ethical standards. Beyond that, identity federations can set</w:t>
      </w:r>
      <w:r w:rsidR="00EA77CC">
        <w:t xml:space="preserve"> organizational</w:t>
      </w:r>
      <w:r>
        <w:t xml:space="preserve"> standards and policies to which they bind their members through contracts or operating rules. Within those standards and policies, </w:t>
      </w:r>
      <w:r w:rsidR="00EA77CC">
        <w:t>identity federations can determine architectures</w:t>
      </w:r>
      <w:r>
        <w:t xml:space="preserve"> for consumer choice</w:t>
      </w:r>
      <w:r w:rsidR="00EA77CC">
        <w:t xml:space="preserve"> with respect to the personal identity information used for issuance, use and management of identity credentials</w:t>
      </w:r>
      <w:r>
        <w:t xml:space="preserve">. </w:t>
      </w:r>
    </w:p>
    <w:p w:rsidR="009D754E" w:rsidRDefault="009D754E">
      <w:r>
        <w:t xml:space="preserve">The Kantara Privacy Framework is a set of principles and </w:t>
      </w:r>
      <w:r w:rsidR="00F86F92">
        <w:t>high-level requirements</w:t>
      </w:r>
      <w:r>
        <w:t xml:space="preserve"> for collection, use, exchange and retention of personal information associated with Kantara-certified identity federations. </w:t>
      </w:r>
      <w:r w:rsidR="00371399">
        <w:t xml:space="preserve">The Framework </w:t>
      </w:r>
      <w:r w:rsidR="008E531C">
        <w:t xml:space="preserve">contains the principles </w:t>
      </w:r>
      <w:r w:rsidR="00EA77CC">
        <w:t>that have been developed over the past several decades and serve</w:t>
      </w:r>
      <w:r w:rsidR="008E531C">
        <w:t xml:space="preserve"> as a basis for law and regulation around the world. </w:t>
      </w:r>
      <w:r w:rsidR="00EA77CC">
        <w:t xml:space="preserve">These principles are translated into specific requirements within </w:t>
      </w:r>
      <w:r>
        <w:t>Privacy Profiles, which apply to</w:t>
      </w:r>
      <w:r w:rsidR="008E531C">
        <w:t xml:space="preserve"> federations operating in</w:t>
      </w:r>
      <w:r>
        <w:t xml:space="preserve"> specifi</w:t>
      </w:r>
      <w:r w:rsidR="00F86F92">
        <w:t>c industry verticals or regions</w:t>
      </w:r>
      <w:r w:rsidR="008E531C">
        <w:t>. Privacy Profiles</w:t>
      </w:r>
      <w:r w:rsidR="00F86F92">
        <w:t xml:space="preserve"> will interpret the Framework principles and requirements in light of their specific legal, regulatory, cultural, and contractual constraints</w:t>
      </w:r>
      <w:r w:rsidR="00EA77CC">
        <w:t xml:space="preserve"> and will be tied to a set of service assessment criteria against which a Kantara certification will be issued</w:t>
      </w:r>
      <w:r w:rsidR="00F86F92">
        <w:t>.</w:t>
      </w:r>
    </w:p>
    <w:p w:rsidR="008E531C" w:rsidRDefault="00371399">
      <w:r>
        <w:t>At this time, the Kantara Privacy Framework is a work in progress</w:t>
      </w:r>
      <w:r w:rsidR="008E531C">
        <w:t>. The table below illustrates the relationship between the Framework, the Privacy Profiles, and the service assessment criteria. It is shown for illustrative purposes only.</w:t>
      </w:r>
    </w:p>
    <w:p w:rsidR="00EA77CC" w:rsidRDefault="00EA77CC"/>
    <w:tbl>
      <w:tblPr>
        <w:tblStyle w:val="TableGrid"/>
        <w:tblW w:w="0" w:type="auto"/>
        <w:tblLook w:val="04A0"/>
      </w:tblPr>
      <w:tblGrid>
        <w:gridCol w:w="1818"/>
        <w:gridCol w:w="2790"/>
        <w:gridCol w:w="2574"/>
        <w:gridCol w:w="2394"/>
      </w:tblGrid>
      <w:tr w:rsidR="008E531C" w:rsidRPr="008E531C" w:rsidTr="008E531C">
        <w:tc>
          <w:tcPr>
            <w:tcW w:w="1818" w:type="dxa"/>
          </w:tcPr>
          <w:p w:rsidR="008E531C" w:rsidRPr="008E531C" w:rsidRDefault="008E531C">
            <w:pPr>
              <w:rPr>
                <w:b/>
              </w:rPr>
            </w:pPr>
            <w:r w:rsidRPr="008E531C">
              <w:rPr>
                <w:b/>
              </w:rPr>
              <w:t>Principle</w:t>
            </w:r>
          </w:p>
        </w:tc>
        <w:tc>
          <w:tcPr>
            <w:tcW w:w="2790" w:type="dxa"/>
          </w:tcPr>
          <w:p w:rsidR="008E531C" w:rsidRPr="008E531C" w:rsidRDefault="008E531C">
            <w:pPr>
              <w:rPr>
                <w:b/>
              </w:rPr>
            </w:pPr>
            <w:r w:rsidRPr="008E531C">
              <w:rPr>
                <w:b/>
              </w:rPr>
              <w:t>Privacy Framework</w:t>
            </w:r>
          </w:p>
        </w:tc>
        <w:tc>
          <w:tcPr>
            <w:tcW w:w="2574" w:type="dxa"/>
          </w:tcPr>
          <w:p w:rsidR="008E531C" w:rsidRPr="008E531C" w:rsidRDefault="008E531C">
            <w:pPr>
              <w:rPr>
                <w:b/>
              </w:rPr>
            </w:pPr>
            <w:r w:rsidRPr="008E531C">
              <w:rPr>
                <w:b/>
              </w:rPr>
              <w:t>Privacy Profile: US ICAM</w:t>
            </w:r>
          </w:p>
        </w:tc>
        <w:tc>
          <w:tcPr>
            <w:tcW w:w="2394" w:type="dxa"/>
          </w:tcPr>
          <w:p w:rsidR="00F606A4" w:rsidRPr="00F606A4" w:rsidRDefault="008E531C" w:rsidP="00F606A4">
            <w:pPr>
              <w:rPr>
                <w:b/>
              </w:rPr>
            </w:pPr>
            <w:r w:rsidRPr="00F606A4">
              <w:rPr>
                <w:b/>
              </w:rPr>
              <w:t>Service Assessment Criteria</w:t>
            </w:r>
            <w:r w:rsidR="00F606A4" w:rsidRPr="00F606A4">
              <w:rPr>
                <w:b/>
              </w:rPr>
              <w:t xml:space="preserve">: </w:t>
            </w:r>
          </w:p>
          <w:p w:rsidR="008E531C" w:rsidRPr="00F606A4" w:rsidRDefault="00F606A4" w:rsidP="00F606A4">
            <w:pPr>
              <w:rPr>
                <w:b/>
              </w:rPr>
            </w:pPr>
            <w:r w:rsidRPr="00F606A4">
              <w:rPr>
                <w:b/>
              </w:rPr>
              <w:t xml:space="preserve"> </w:t>
            </w:r>
            <w:r w:rsidRPr="00F606A4">
              <w:rPr>
                <w:b/>
                <w:sz w:val="23"/>
                <w:szCs w:val="23"/>
              </w:rPr>
              <w:t>IAF-1400 v. 0.9.1</w:t>
            </w:r>
          </w:p>
        </w:tc>
      </w:tr>
      <w:tr w:rsidR="008E531C" w:rsidTr="008E531C">
        <w:tc>
          <w:tcPr>
            <w:tcW w:w="1818" w:type="dxa"/>
          </w:tcPr>
          <w:p w:rsidR="008E531C" w:rsidRDefault="008E531C">
            <w:r>
              <w:t>Notice</w:t>
            </w:r>
          </w:p>
        </w:tc>
        <w:tc>
          <w:tcPr>
            <w:tcW w:w="2790" w:type="dxa"/>
          </w:tcPr>
          <w:p w:rsidR="008E531C" w:rsidRDefault="008E531C" w:rsidP="008E531C">
            <w:r>
              <w:rPr>
                <w:rFonts w:ascii="Calibri" w:hAnsi="Calibri"/>
                <w:color w:val="000000"/>
              </w:rPr>
              <w:t>Participants in Kantara-certified Identity Federations must provide notice to individual</w:t>
            </w:r>
            <w:r w:rsidR="00EA6979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regarding privacy policies and practices of federation participants.</w:t>
            </w:r>
          </w:p>
        </w:tc>
        <w:tc>
          <w:tcPr>
            <w:tcW w:w="2574" w:type="dxa"/>
          </w:tcPr>
          <w:p w:rsidR="008E531C" w:rsidRDefault="008E531C" w:rsidP="008E531C">
            <w:r w:rsidRPr="008E531C">
              <w:t>At the time the Identity Subject initiates registration, the</w:t>
            </w:r>
            <w:r>
              <w:t xml:space="preserve"> </w:t>
            </w:r>
            <w:r w:rsidRPr="008E531C">
              <w:t>CSP must provide the Subject a general description of the service and how it</w:t>
            </w:r>
            <w:r>
              <w:t xml:space="preserve"> </w:t>
            </w:r>
            <w:r w:rsidRPr="008E531C">
              <w:t xml:space="preserve">operates including what information, if any, may </w:t>
            </w:r>
            <w:r w:rsidRPr="008E531C">
              <w:lastRenderedPageBreak/>
              <w:t>be released by default to any</w:t>
            </w:r>
            <w:r>
              <w:t xml:space="preserve"> </w:t>
            </w:r>
            <w:r w:rsidRPr="008E531C">
              <w:t>Relying Party and, if the Subject indicates intent to use the service to gain access</w:t>
            </w:r>
            <w:r>
              <w:t xml:space="preserve"> </w:t>
            </w:r>
            <w:r w:rsidRPr="008E531C">
              <w:t>to Federal government applications, must make available to the Identity Subject</w:t>
            </w:r>
            <w:r>
              <w:t xml:space="preserve"> </w:t>
            </w:r>
            <w:r w:rsidRPr="008E531C">
              <w:t>what additional information, if any, may be released to such applications.</w:t>
            </w:r>
          </w:p>
        </w:tc>
        <w:tc>
          <w:tcPr>
            <w:tcW w:w="2394" w:type="dxa"/>
          </w:tcPr>
          <w:p w:rsidR="008E531C" w:rsidRDefault="00F606A4" w:rsidP="00F606A4">
            <w:pPr>
              <w:pStyle w:val="ListParagraph"/>
              <w:ind w:left="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3.5.1.2 Notices and User information</w:t>
            </w:r>
          </w:p>
          <w:p w:rsidR="00F606A4" w:rsidRDefault="00F606A4" w:rsidP="00F606A4">
            <w:pPr>
              <w:pStyle w:val="ListParagraph"/>
              <w:ind w:left="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AL1_CO_NUI#010 General Service Definition</w:t>
            </w:r>
          </w:p>
          <w:p w:rsidR="00F606A4" w:rsidRDefault="00F606A4" w:rsidP="00F606A4">
            <w:pPr>
              <w:pStyle w:val="ListParagraph"/>
              <w:ind w:left="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AL1_CO_NUI#020 Service Definition inclusions</w:t>
            </w:r>
          </w:p>
          <w:p w:rsidR="00F606A4" w:rsidRDefault="00F606A4" w:rsidP="00F606A4">
            <w:pPr>
              <w:pStyle w:val="ListParagraph"/>
              <w:ind w:left="18"/>
            </w:pPr>
            <w:r>
              <w:rPr>
                <w:sz w:val="23"/>
                <w:szCs w:val="23"/>
              </w:rPr>
              <w:lastRenderedPageBreak/>
              <w:t>Etc.</w:t>
            </w:r>
          </w:p>
        </w:tc>
      </w:tr>
      <w:tr w:rsidR="00F606A4" w:rsidTr="008E531C">
        <w:tc>
          <w:tcPr>
            <w:tcW w:w="1818" w:type="dxa"/>
          </w:tcPr>
          <w:p w:rsidR="00F606A4" w:rsidRDefault="00B720E5">
            <w:r>
              <w:lastRenderedPageBreak/>
              <w:t>Disclosure Limitation</w:t>
            </w:r>
          </w:p>
        </w:tc>
        <w:tc>
          <w:tcPr>
            <w:tcW w:w="2790" w:type="dxa"/>
          </w:tcPr>
          <w:p w:rsidR="00B720E5" w:rsidRDefault="00B720E5" w:rsidP="00B720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Participants in a Kantara-certified Identity Federation may release identity information, including transfer, provision of access to, or divulging in any other manner, only to the extent necessary to accomplish a specified purpose(s) and never to discriminate inappropriately.</w:t>
            </w:r>
          </w:p>
          <w:p w:rsidR="00F606A4" w:rsidRDefault="00F606A4" w:rsidP="008E5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74" w:type="dxa"/>
          </w:tcPr>
          <w:p w:rsidR="00F606A4" w:rsidRPr="008E531C" w:rsidRDefault="00B720E5" w:rsidP="00B720E5">
            <w:r>
              <w:t>Identity Provider must transmit only those attributes that are explicitly requested by the Federal RP application or required by the Federal identity assertion profile.</w:t>
            </w:r>
          </w:p>
        </w:tc>
        <w:tc>
          <w:tcPr>
            <w:tcW w:w="2394" w:type="dxa"/>
          </w:tcPr>
          <w:p w:rsidR="00F606A4" w:rsidRDefault="000E368B" w:rsidP="00F606A4">
            <w:pPr>
              <w:pStyle w:val="ListParagraph"/>
              <w:ind w:left="18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</w:tbl>
    <w:p w:rsidR="00371399" w:rsidRDefault="00371399"/>
    <w:p w:rsidR="00371399" w:rsidRDefault="00371399"/>
    <w:sectPr w:rsidR="00371399" w:rsidSect="0084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121"/>
    <w:multiLevelType w:val="hybridMultilevel"/>
    <w:tmpl w:val="68D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754E"/>
    <w:rsid w:val="000E368B"/>
    <w:rsid w:val="00123E94"/>
    <w:rsid w:val="002C511B"/>
    <w:rsid w:val="002F2479"/>
    <w:rsid w:val="00371399"/>
    <w:rsid w:val="005872BA"/>
    <w:rsid w:val="008470A9"/>
    <w:rsid w:val="008D1C31"/>
    <w:rsid w:val="008E531C"/>
    <w:rsid w:val="009D754E"/>
    <w:rsid w:val="00B720E5"/>
    <w:rsid w:val="00EA6979"/>
    <w:rsid w:val="00EA77CC"/>
    <w:rsid w:val="00F606A4"/>
    <w:rsid w:val="00F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54E"/>
    <w:rPr>
      <w:b/>
      <w:bCs/>
    </w:rPr>
  </w:style>
  <w:style w:type="table" w:styleId="TableGrid">
    <w:name w:val="Table Grid"/>
    <w:basedOn w:val="TableNormal"/>
    <w:uiPriority w:val="59"/>
    <w:rsid w:val="008E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3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31C"/>
    <w:pPr>
      <w:ind w:left="720"/>
      <w:contextualSpacing/>
    </w:pPr>
  </w:style>
  <w:style w:type="paragraph" w:customStyle="1" w:styleId="Default">
    <w:name w:val="Default"/>
    <w:rsid w:val="00F60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Anakam, Inc.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Anakam</dc:creator>
  <cp:keywords/>
  <dc:description/>
  <cp:lastModifiedBy>Anakam</cp:lastModifiedBy>
  <cp:revision>6</cp:revision>
  <dcterms:created xsi:type="dcterms:W3CDTF">2011-04-14T15:51:00Z</dcterms:created>
  <dcterms:modified xsi:type="dcterms:W3CDTF">2011-04-14T17:54:00Z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-1729657834</vt:i4>
  </property>
  <property fmtid="{D5CDD505-2E9C-101B-9397-08002B2CF9AE}" pid="3" name="_NewReviewCycle">
    <vt:lpwstr/>
  </property>
  <property fmtid="{D5CDD505-2E9C-101B-9397-08002B2CF9AE}" pid="4" name="_EmailSubject">
    <vt:lpwstr>Brief description--privacy framework</vt:lpwstr>
  </property>
  <property fmtid="{D5CDD505-2E9C-101B-9397-08002B2CF9AE}" pid="5" name="_AuthorEmail">
    <vt:lpwstr>aslomovic@anakam.com</vt:lpwstr>
  </property>
  <property fmtid="{D5CDD505-2E9C-101B-9397-08002B2CF9AE}" pid="6" name="_AuthorEmailDisplayName">
    <vt:lpwstr>Anna Slomovic/Equifax</vt:lpwstr>
  </property>
</Properties>
</file>